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92" w:rsidRDefault="00CE1892" w:rsidP="00CE1892">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noProof/>
        </w:rPr>
        <w:drawing>
          <wp:inline distT="0" distB="0" distL="0" distR="0">
            <wp:extent cx="3689350" cy="15741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9350" cy="1574165"/>
                    </a:xfrm>
                    <a:prstGeom prst="rect">
                      <a:avLst/>
                    </a:prstGeom>
                    <a:noFill/>
                    <a:ln>
                      <a:noFill/>
                    </a:ln>
                  </pic:spPr>
                </pic:pic>
              </a:graphicData>
            </a:graphic>
          </wp:inline>
        </w:drawing>
      </w:r>
      <w:r>
        <w:rPr>
          <w:noProof/>
        </w:rPr>
        <w:drawing>
          <wp:inline distT="0" distB="0" distL="0" distR="0" wp14:anchorId="3E33A218" wp14:editId="5DDE5074">
            <wp:extent cx="785000" cy="1160890"/>
            <wp:effectExtent l="0" t="0" r="0" b="1270"/>
            <wp:docPr id="2" name="Picture 2" descr="S:\10-11Share\Perm\Region 10 Logo\R10 Logomark and Trademarks\Vertical Trademark\VT Color\Vertical Trademark ColorBM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10-11Share\Perm\Region 10 Logo\R10 Logomark and Trademarks\Vertical Trademark\VT Color\Vertical Trademark ColorBMP2.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5362" cy="1161426"/>
                    </a:xfrm>
                    <a:prstGeom prst="rect">
                      <a:avLst/>
                    </a:prstGeom>
                    <a:noFill/>
                    <a:ln>
                      <a:noFill/>
                    </a:ln>
                  </pic:spPr>
                </pic:pic>
              </a:graphicData>
            </a:graphic>
          </wp:inline>
        </w:drawing>
      </w:r>
    </w:p>
    <w:p w:rsidR="00720CAC" w:rsidRPr="00F6400F" w:rsidRDefault="00F6400F" w:rsidP="00F6400F">
      <w:pPr>
        <w:spacing w:line="240" w:lineRule="auto"/>
        <w:jc w:val="center"/>
        <w:rPr>
          <w:b/>
          <w:color w:val="000000"/>
          <w:sz w:val="32"/>
          <w:szCs w:val="32"/>
        </w:rPr>
      </w:pPr>
      <w:r w:rsidRPr="00F6400F">
        <w:rPr>
          <w:b/>
          <w:color w:val="000000"/>
          <w:sz w:val="32"/>
          <w:szCs w:val="32"/>
        </w:rPr>
        <w:t xml:space="preserve">Vertical Alignment Team Meeting </w:t>
      </w:r>
      <w:r w:rsidR="00720CAC" w:rsidRPr="00F6400F">
        <w:rPr>
          <w:b/>
          <w:color w:val="000000"/>
          <w:sz w:val="32"/>
          <w:szCs w:val="32"/>
        </w:rPr>
        <w:t>Agenda</w:t>
      </w:r>
    </w:p>
    <w:p w:rsidR="00F6400F" w:rsidRDefault="00F6400F" w:rsidP="00F6400F">
      <w:pPr>
        <w:spacing w:line="240" w:lineRule="auto"/>
        <w:jc w:val="center"/>
        <w:rPr>
          <w:color w:val="000000"/>
        </w:rPr>
      </w:pPr>
      <w:r>
        <w:rPr>
          <w:color w:val="000000"/>
        </w:rPr>
        <w:t>February 19, 2015</w:t>
      </w:r>
    </w:p>
    <w:p w:rsidR="00720CAC" w:rsidRDefault="00720CAC" w:rsidP="00720CAC">
      <w:pPr>
        <w:rPr>
          <w:color w:val="000000"/>
        </w:rPr>
      </w:pPr>
      <w:r>
        <w:rPr>
          <w:color w:val="000000"/>
        </w:rPr>
        <w:t xml:space="preserve">11:00 </w:t>
      </w:r>
      <w:proofErr w:type="gramStart"/>
      <w:r>
        <w:rPr>
          <w:color w:val="000000"/>
        </w:rPr>
        <w:t>AM</w:t>
      </w:r>
      <w:proofErr w:type="gramEnd"/>
      <w:r>
        <w:rPr>
          <w:color w:val="000000"/>
        </w:rPr>
        <w:t xml:space="preserve">  </w:t>
      </w:r>
      <w:r>
        <w:rPr>
          <w:color w:val="000000"/>
        </w:rPr>
        <w:tab/>
        <w:t>Welcome &amp; Introductions</w:t>
      </w:r>
    </w:p>
    <w:p w:rsidR="00720CAC" w:rsidRDefault="00720CAC" w:rsidP="00720CAC">
      <w:pPr>
        <w:rPr>
          <w:color w:val="000000"/>
        </w:rPr>
      </w:pPr>
      <w:r>
        <w:rPr>
          <w:color w:val="000000"/>
        </w:rPr>
        <w:t xml:space="preserve">11:15 </w:t>
      </w:r>
      <w:proofErr w:type="gramStart"/>
      <w:r>
        <w:rPr>
          <w:color w:val="000000"/>
        </w:rPr>
        <w:t>AM</w:t>
      </w:r>
      <w:proofErr w:type="gramEnd"/>
      <w:r>
        <w:rPr>
          <w:color w:val="000000"/>
        </w:rPr>
        <w:tab/>
        <w:t>Avatar Project History and Background</w:t>
      </w:r>
    </w:p>
    <w:p w:rsidR="00720CAC" w:rsidRDefault="00A6558F" w:rsidP="00720CAC">
      <w:pPr>
        <w:rPr>
          <w:color w:val="000000"/>
        </w:rPr>
      </w:pPr>
      <w:r>
        <w:rPr>
          <w:color w:val="000000"/>
        </w:rPr>
        <w:t>11:45 AM</w:t>
      </w:r>
      <w:r>
        <w:rPr>
          <w:color w:val="000000"/>
        </w:rPr>
        <w:tab/>
        <w:t>Project Planning Discussion</w:t>
      </w:r>
    </w:p>
    <w:p w:rsidR="00A6558F" w:rsidRPr="00720CAC" w:rsidRDefault="00A6558F" w:rsidP="00720CAC">
      <w:pPr>
        <w:rPr>
          <w:rFonts w:eastAsia="Times New Roman" w:cs="Times New Roman"/>
          <w:snapToGrid w:val="0"/>
          <w:color w:val="000000" w:themeColor="text1"/>
          <w:w w:val="0"/>
          <w:sz w:val="32"/>
          <w:szCs w:val="32"/>
          <w:u w:color="000000"/>
          <w:bdr w:val="none" w:sz="0" w:space="0" w:color="000000"/>
          <w:shd w:val="clear" w:color="000000" w:fill="000000"/>
          <w:lang w:eastAsia="x-none" w:bidi="x-none"/>
        </w:rPr>
      </w:pPr>
      <w:r>
        <w:rPr>
          <w:color w:val="000000"/>
        </w:rPr>
        <w:t xml:space="preserve">12:45 </w:t>
      </w:r>
      <w:proofErr w:type="gramStart"/>
      <w:r>
        <w:rPr>
          <w:color w:val="000000"/>
        </w:rPr>
        <w:t>AM</w:t>
      </w:r>
      <w:proofErr w:type="gramEnd"/>
      <w:r>
        <w:rPr>
          <w:color w:val="000000"/>
        </w:rPr>
        <w:tab/>
        <w:t>Future Meeting Dates and Assignments</w:t>
      </w:r>
    </w:p>
    <w:tbl>
      <w:tblPr>
        <w:tblStyle w:val="TableGrid"/>
        <w:tblW w:w="0" w:type="auto"/>
        <w:tblLook w:val="04A0" w:firstRow="1" w:lastRow="0" w:firstColumn="1" w:lastColumn="0" w:noHBand="0" w:noVBand="1"/>
      </w:tblPr>
      <w:tblGrid>
        <w:gridCol w:w="4316"/>
        <w:gridCol w:w="5260"/>
      </w:tblGrid>
      <w:tr w:rsidR="00525B33" w:rsidRPr="00525B33" w:rsidTr="00525B33">
        <w:tc>
          <w:tcPr>
            <w:tcW w:w="4788" w:type="dxa"/>
          </w:tcPr>
          <w:p w:rsidR="00525B33" w:rsidRPr="00525B33" w:rsidRDefault="00525B33" w:rsidP="00525B33">
            <w:pPr>
              <w:pStyle w:val="Default"/>
              <w:rPr>
                <w:rFonts w:asciiTheme="minorHAnsi" w:hAnsiTheme="minorHAnsi"/>
                <w:b/>
                <w:sz w:val="22"/>
                <w:szCs w:val="22"/>
              </w:rPr>
            </w:pPr>
          </w:p>
          <w:p w:rsidR="00525B33" w:rsidRPr="00525B33" w:rsidRDefault="00525B33" w:rsidP="00525B33">
            <w:pPr>
              <w:pStyle w:val="Default"/>
              <w:rPr>
                <w:rFonts w:asciiTheme="minorHAnsi" w:hAnsiTheme="minorHAnsi"/>
                <w:b/>
                <w:sz w:val="22"/>
                <w:szCs w:val="22"/>
              </w:rPr>
            </w:pPr>
            <w:r w:rsidRPr="00525B33">
              <w:rPr>
                <w:rFonts w:asciiTheme="minorHAnsi" w:hAnsiTheme="minorHAnsi"/>
                <w:b/>
                <w:sz w:val="22"/>
                <w:szCs w:val="22"/>
              </w:rPr>
              <w:t xml:space="preserve"> </w:t>
            </w:r>
            <w:r w:rsidRPr="00525B33">
              <w:rPr>
                <w:rFonts w:asciiTheme="minorHAnsi" w:hAnsiTheme="minorHAnsi"/>
                <w:b/>
                <w:bCs/>
                <w:sz w:val="22"/>
                <w:szCs w:val="22"/>
              </w:rPr>
              <w:t xml:space="preserve">The Regional Partnership will: </w:t>
            </w:r>
          </w:p>
          <w:p w:rsidR="00525B33" w:rsidRPr="00525B33" w:rsidRDefault="00525B33" w:rsidP="00525B33">
            <w:pPr>
              <w:pStyle w:val="Default"/>
              <w:rPr>
                <w:rFonts w:asciiTheme="minorHAnsi" w:hAnsiTheme="minorHAnsi"/>
                <w:b/>
                <w:sz w:val="22"/>
                <w:szCs w:val="22"/>
              </w:rPr>
            </w:pPr>
          </w:p>
        </w:tc>
        <w:tc>
          <w:tcPr>
            <w:tcW w:w="4788" w:type="dxa"/>
          </w:tcPr>
          <w:p w:rsidR="00525B33" w:rsidRPr="00525B33" w:rsidRDefault="00525B33">
            <w:pPr>
              <w:rPr>
                <w:b/>
              </w:rPr>
            </w:pPr>
          </w:p>
          <w:p w:rsidR="00525B33" w:rsidRPr="00525B33" w:rsidRDefault="00525B33">
            <w:pPr>
              <w:rPr>
                <w:b/>
              </w:rPr>
            </w:pPr>
            <w:r w:rsidRPr="00525B33">
              <w:rPr>
                <w:b/>
              </w:rPr>
              <w:t>Suggested Ideas/Approaches:</w:t>
            </w:r>
          </w:p>
        </w:tc>
      </w:tr>
      <w:tr w:rsidR="00525B33" w:rsidRPr="00525B33" w:rsidTr="00525B33">
        <w:tc>
          <w:tcPr>
            <w:tcW w:w="4788" w:type="dxa"/>
          </w:tcPr>
          <w:p w:rsidR="00525B33" w:rsidRPr="00525B33" w:rsidRDefault="00525B33" w:rsidP="00525B33">
            <w:pPr>
              <w:pStyle w:val="Default"/>
              <w:rPr>
                <w:rFonts w:asciiTheme="minorHAnsi" w:hAnsiTheme="minorHAnsi"/>
                <w:sz w:val="22"/>
                <w:szCs w:val="22"/>
              </w:rPr>
            </w:pPr>
          </w:p>
          <w:p w:rsidR="00525B33" w:rsidRPr="00525B33" w:rsidRDefault="00525B33" w:rsidP="00525B33">
            <w:pPr>
              <w:pStyle w:val="Default"/>
              <w:rPr>
                <w:rFonts w:asciiTheme="minorHAnsi" w:hAnsiTheme="minorHAnsi"/>
                <w:sz w:val="22"/>
                <w:szCs w:val="22"/>
              </w:rPr>
            </w:pPr>
            <w:r w:rsidRPr="00525B33">
              <w:rPr>
                <w:rFonts w:asciiTheme="minorHAnsi" w:hAnsiTheme="minorHAnsi"/>
                <w:sz w:val="22"/>
                <w:szCs w:val="22"/>
              </w:rPr>
              <w:t xml:space="preserve"> </w:t>
            </w:r>
          </w:p>
          <w:p w:rsidR="00525B33" w:rsidRPr="00525B33" w:rsidRDefault="00525B33" w:rsidP="00525B33">
            <w:pPr>
              <w:pStyle w:val="Default"/>
              <w:rPr>
                <w:rFonts w:asciiTheme="minorHAnsi" w:hAnsiTheme="minorHAnsi"/>
                <w:sz w:val="22"/>
                <w:szCs w:val="22"/>
              </w:rPr>
            </w:pPr>
            <w:r w:rsidRPr="00525B33">
              <w:rPr>
                <w:rFonts w:asciiTheme="minorHAnsi" w:hAnsiTheme="minorHAnsi"/>
                <w:sz w:val="22"/>
                <w:szCs w:val="22"/>
              </w:rPr>
              <w:t xml:space="preserve">Develop College Preparatory Courses in English Language Arts and Mathematics that are aligned to the Texas Essential Knowledge and Skills (TEKS), State of Texas Assessments of Academic Readiness (STAAR), End-of-Course (EOC) Assessments, Texas College and Career Readiness Standards (CCRS), Texas Higher Education Coordinating Board (THECB) Core Curriculum guidelines, the Texas Success Initiative (TSI), and current research on college and career readiness. </w:t>
            </w:r>
          </w:p>
          <w:p w:rsidR="00525B33" w:rsidRDefault="00525B33"/>
          <w:p w:rsidR="00A6558F" w:rsidRPr="00525B33" w:rsidRDefault="00A6558F"/>
        </w:tc>
        <w:tc>
          <w:tcPr>
            <w:tcW w:w="4788" w:type="dxa"/>
          </w:tcPr>
          <w:p w:rsidR="007B4607" w:rsidRDefault="00653009" w:rsidP="007B4607">
            <w:pPr>
              <w:pStyle w:val="ListParagraph"/>
              <w:numPr>
                <w:ilvl w:val="0"/>
                <w:numId w:val="1"/>
              </w:numPr>
              <w:ind w:left="364"/>
            </w:pPr>
            <w:r>
              <w:t xml:space="preserve">How will the ISDs communicate to the students and parents that the CPCs are available and how and where to access them, what does it mean if I do or don’t pass them. </w:t>
            </w:r>
          </w:p>
          <w:p w:rsidR="007B4607" w:rsidRDefault="00653009" w:rsidP="007B4607">
            <w:pPr>
              <w:pStyle w:val="ListParagraph"/>
              <w:numPr>
                <w:ilvl w:val="0"/>
                <w:numId w:val="1"/>
              </w:numPr>
              <w:ind w:left="364"/>
            </w:pPr>
            <w:r>
              <w:t xml:space="preserve">Provide an FAQ – purpose, and desired results, what happens if students are unsuccessful. Consistent for all. </w:t>
            </w:r>
            <w:r w:rsidR="007B4607">
              <w:t>Includes description of course so that it is not misleading for prospective students.</w:t>
            </w:r>
          </w:p>
          <w:p w:rsidR="007B4607" w:rsidRDefault="00653009" w:rsidP="007B4607">
            <w:pPr>
              <w:pStyle w:val="ListParagraph"/>
              <w:numPr>
                <w:ilvl w:val="0"/>
                <w:numId w:val="1"/>
              </w:numPr>
              <w:ind w:left="364"/>
            </w:pPr>
            <w:r>
              <w:t xml:space="preserve">Structural issues must be resolved – financial, scheduling, delivery. </w:t>
            </w:r>
          </w:p>
          <w:p w:rsidR="007B4607" w:rsidRDefault="00653009" w:rsidP="007B4607">
            <w:pPr>
              <w:pStyle w:val="ListParagraph"/>
              <w:numPr>
                <w:ilvl w:val="0"/>
                <w:numId w:val="1"/>
              </w:numPr>
              <w:ind w:left="364"/>
            </w:pPr>
            <w:r>
              <w:t>Online offering (Cambridge Education and NYBE</w:t>
            </w:r>
            <w:r w:rsidR="007B4607">
              <w:t>, NROC</w:t>
            </w:r>
            <w:r>
              <w:t xml:space="preserve">) – blended to provide more support to struggling students. </w:t>
            </w:r>
          </w:p>
          <w:p w:rsidR="007B4607" w:rsidRDefault="00653009" w:rsidP="007B4607">
            <w:pPr>
              <w:pStyle w:val="ListParagraph"/>
              <w:numPr>
                <w:ilvl w:val="0"/>
                <w:numId w:val="1"/>
              </w:numPr>
              <w:ind w:left="364"/>
            </w:pPr>
            <w:r>
              <w:t xml:space="preserve">Blended learning integrated into higher math and ELAR classes to maintain the integrity of the courses. </w:t>
            </w:r>
          </w:p>
          <w:p w:rsidR="00525B33" w:rsidRDefault="00653009" w:rsidP="007B4607">
            <w:pPr>
              <w:pStyle w:val="ListParagraph"/>
              <w:numPr>
                <w:ilvl w:val="0"/>
                <w:numId w:val="1"/>
              </w:numPr>
              <w:ind w:left="364"/>
            </w:pPr>
            <w:r>
              <w:t>Stand-alone courses to meet the letter of the law.</w:t>
            </w:r>
          </w:p>
          <w:p w:rsidR="007B4607" w:rsidRDefault="007B4607" w:rsidP="007B4607">
            <w:pPr>
              <w:pStyle w:val="ListParagraph"/>
              <w:numPr>
                <w:ilvl w:val="0"/>
                <w:numId w:val="1"/>
              </w:numPr>
              <w:ind w:left="364"/>
            </w:pPr>
            <w:r>
              <w:t xml:space="preserve">Discussion about course development and course contents </w:t>
            </w:r>
          </w:p>
          <w:p w:rsidR="007B4607" w:rsidRDefault="007B4607" w:rsidP="007B4607">
            <w:pPr>
              <w:pStyle w:val="ListParagraph"/>
              <w:numPr>
                <w:ilvl w:val="0"/>
                <w:numId w:val="1"/>
              </w:numPr>
              <w:ind w:left="364"/>
            </w:pPr>
            <w:r>
              <w:t xml:space="preserve">Region 1 large scale online course (we will find out more about this). PD has been provided but concerns about variations in practice. </w:t>
            </w:r>
          </w:p>
          <w:p w:rsidR="007B4607" w:rsidRDefault="007B4607" w:rsidP="007B4607">
            <w:pPr>
              <w:pStyle w:val="ListParagraph"/>
              <w:numPr>
                <w:ilvl w:val="0"/>
                <w:numId w:val="1"/>
              </w:numPr>
              <w:ind w:left="364"/>
            </w:pPr>
            <w:r>
              <w:t>San Antonio example – meeting with English III</w:t>
            </w:r>
          </w:p>
          <w:p w:rsidR="00DD274E" w:rsidRDefault="00DD274E" w:rsidP="007B4607">
            <w:pPr>
              <w:pStyle w:val="ListParagraph"/>
              <w:numPr>
                <w:ilvl w:val="0"/>
                <w:numId w:val="1"/>
              </w:numPr>
              <w:ind w:left="364"/>
            </w:pPr>
            <w:r>
              <w:t xml:space="preserve">Improve communications for vertical </w:t>
            </w:r>
            <w:proofErr w:type="gramStart"/>
            <w:r>
              <w:t xml:space="preserve">alignment </w:t>
            </w:r>
            <w:r w:rsidR="00BC3CFE">
              <w:t xml:space="preserve"> and</w:t>
            </w:r>
            <w:proofErr w:type="gramEnd"/>
            <w:r w:rsidR="00BC3CFE">
              <w:t xml:space="preserve"> provide list of developers and reviewers to show the collaboration and give credence to the effort and work produced.</w:t>
            </w:r>
          </w:p>
          <w:p w:rsidR="00BC3CFE" w:rsidRDefault="00BC3CFE" w:rsidP="007B4607">
            <w:pPr>
              <w:pStyle w:val="ListParagraph"/>
              <w:numPr>
                <w:ilvl w:val="0"/>
                <w:numId w:val="1"/>
              </w:numPr>
              <w:ind w:left="364"/>
            </w:pPr>
            <w:r>
              <w:t xml:space="preserve">Is there a group approving/vetting </w:t>
            </w:r>
            <w:proofErr w:type="gramStart"/>
            <w:r>
              <w:t>products</w:t>
            </w:r>
            <w:proofErr w:type="gramEnd"/>
            <w:r>
              <w:t xml:space="preserve"> </w:t>
            </w:r>
            <w:r>
              <w:lastRenderedPageBreak/>
              <w:t>created? No, not TEA or THECB</w:t>
            </w:r>
          </w:p>
          <w:p w:rsidR="00BC3CFE" w:rsidRDefault="00BC3CFE" w:rsidP="007B4607">
            <w:pPr>
              <w:pStyle w:val="ListParagraph"/>
              <w:numPr>
                <w:ilvl w:val="0"/>
                <w:numId w:val="1"/>
              </w:numPr>
              <w:ind w:left="364"/>
            </w:pPr>
            <w:r>
              <w:t xml:space="preserve">Advantage to all – standardized version of the course in use. </w:t>
            </w:r>
          </w:p>
          <w:p w:rsidR="00BC3CFE" w:rsidRDefault="00BC3CFE" w:rsidP="007B4607">
            <w:pPr>
              <w:pStyle w:val="ListParagraph"/>
              <w:numPr>
                <w:ilvl w:val="0"/>
                <w:numId w:val="1"/>
              </w:numPr>
              <w:ind w:left="364"/>
            </w:pPr>
            <w:r>
              <w:t xml:space="preserve">Questions regarding course outlines were posed and discussed. </w:t>
            </w:r>
          </w:p>
          <w:p w:rsidR="00BC3CFE" w:rsidRPr="00525B33" w:rsidRDefault="00BC3CFE" w:rsidP="007B4607">
            <w:pPr>
              <w:pStyle w:val="ListParagraph"/>
              <w:numPr>
                <w:ilvl w:val="0"/>
                <w:numId w:val="1"/>
              </w:numPr>
              <w:ind w:left="364"/>
            </w:pPr>
            <w:r>
              <w:t>Possibly add reading lists – if materials or course supports are developed.</w:t>
            </w:r>
          </w:p>
        </w:tc>
      </w:tr>
      <w:tr w:rsidR="00525B33" w:rsidRPr="00525B33" w:rsidTr="00525B33">
        <w:tc>
          <w:tcPr>
            <w:tcW w:w="4788" w:type="dxa"/>
          </w:tcPr>
          <w:p w:rsidR="00525B33" w:rsidRPr="00525B33" w:rsidRDefault="00525B33" w:rsidP="00525B33">
            <w:pPr>
              <w:pStyle w:val="Default"/>
              <w:rPr>
                <w:rFonts w:asciiTheme="minorHAnsi" w:hAnsiTheme="minorHAnsi"/>
                <w:sz w:val="22"/>
                <w:szCs w:val="22"/>
              </w:rPr>
            </w:pPr>
          </w:p>
          <w:p w:rsidR="00525B33" w:rsidRPr="00525B33" w:rsidRDefault="00525B33" w:rsidP="00525B33">
            <w:pPr>
              <w:pStyle w:val="Default"/>
              <w:rPr>
                <w:rFonts w:asciiTheme="minorHAnsi" w:hAnsiTheme="minorHAnsi"/>
                <w:sz w:val="22"/>
                <w:szCs w:val="22"/>
              </w:rPr>
            </w:pPr>
            <w:r w:rsidRPr="00525B33">
              <w:rPr>
                <w:rFonts w:asciiTheme="minorHAnsi" w:hAnsiTheme="minorHAnsi"/>
                <w:sz w:val="22"/>
                <w:szCs w:val="22"/>
              </w:rPr>
              <w:t xml:space="preserve"> Create and share English Language Arts and Mathematics College Preparatory Course </w:t>
            </w:r>
          </w:p>
          <w:p w:rsidR="00525B33" w:rsidRPr="00525B33" w:rsidRDefault="00525B33" w:rsidP="00525B33">
            <w:pPr>
              <w:pStyle w:val="Default"/>
              <w:rPr>
                <w:rFonts w:asciiTheme="minorHAnsi" w:hAnsiTheme="minorHAnsi"/>
                <w:sz w:val="22"/>
                <w:szCs w:val="22"/>
              </w:rPr>
            </w:pPr>
            <w:r w:rsidRPr="00525B33">
              <w:rPr>
                <w:rFonts w:asciiTheme="minorHAnsi" w:hAnsiTheme="minorHAnsi"/>
                <w:sz w:val="22"/>
                <w:szCs w:val="22"/>
              </w:rPr>
              <w:t>--descriptions</w:t>
            </w:r>
          </w:p>
          <w:p w:rsidR="00525B33" w:rsidRPr="00525B33" w:rsidRDefault="00525B33" w:rsidP="00525B33">
            <w:pPr>
              <w:pStyle w:val="Default"/>
              <w:rPr>
                <w:rFonts w:asciiTheme="minorHAnsi" w:hAnsiTheme="minorHAnsi"/>
                <w:sz w:val="22"/>
                <w:szCs w:val="22"/>
              </w:rPr>
            </w:pPr>
            <w:r w:rsidRPr="00525B33">
              <w:rPr>
                <w:rFonts w:asciiTheme="minorHAnsi" w:hAnsiTheme="minorHAnsi"/>
                <w:sz w:val="22"/>
                <w:szCs w:val="22"/>
              </w:rPr>
              <w:t>--student learning outcomes</w:t>
            </w:r>
          </w:p>
          <w:p w:rsidR="00525B33" w:rsidRPr="00525B33" w:rsidRDefault="00525B33" w:rsidP="00525B33">
            <w:pPr>
              <w:pStyle w:val="Default"/>
              <w:rPr>
                <w:rFonts w:asciiTheme="minorHAnsi" w:hAnsiTheme="minorHAnsi"/>
                <w:sz w:val="22"/>
                <w:szCs w:val="22"/>
              </w:rPr>
            </w:pPr>
            <w:r w:rsidRPr="00525B33">
              <w:rPr>
                <w:rFonts w:asciiTheme="minorHAnsi" w:hAnsiTheme="minorHAnsi"/>
                <w:sz w:val="22"/>
                <w:szCs w:val="22"/>
              </w:rPr>
              <w:t>--instructional strategies</w:t>
            </w:r>
          </w:p>
          <w:p w:rsidR="00525B33" w:rsidRDefault="00525B33" w:rsidP="00525B33">
            <w:pPr>
              <w:pStyle w:val="Default"/>
              <w:rPr>
                <w:rFonts w:asciiTheme="minorHAnsi" w:hAnsiTheme="minorHAnsi"/>
                <w:sz w:val="22"/>
                <w:szCs w:val="22"/>
              </w:rPr>
            </w:pPr>
            <w:r w:rsidRPr="00525B33">
              <w:rPr>
                <w:rFonts w:asciiTheme="minorHAnsi" w:hAnsiTheme="minorHAnsi"/>
                <w:sz w:val="22"/>
                <w:szCs w:val="22"/>
              </w:rPr>
              <w:t xml:space="preserve">--student and instructor expectations that are aligned and communicated between secondary and post-secondary education so that high school students are prepared to enroll and succeed in postsecondary education. </w:t>
            </w:r>
          </w:p>
          <w:p w:rsidR="00525B33" w:rsidRPr="00525B33" w:rsidRDefault="00525B33"/>
        </w:tc>
        <w:tc>
          <w:tcPr>
            <w:tcW w:w="4788" w:type="dxa"/>
          </w:tcPr>
          <w:p w:rsidR="00525B33" w:rsidRDefault="00525B33"/>
          <w:p w:rsidR="00381FA4" w:rsidRDefault="00381FA4" w:rsidP="00A84F33">
            <w:pPr>
              <w:pStyle w:val="ListParagraph"/>
              <w:numPr>
                <w:ilvl w:val="0"/>
                <w:numId w:val="2"/>
              </w:numPr>
              <w:ind w:left="364"/>
            </w:pPr>
            <w:r>
              <w:t>Analyze learning outcomes to ensure alignment to college readiness expectations and content requirements for the college level courses that could potentially follow this course once the student enters the college sequence (courses should culminate in students meeting expectations of the final exam on the highest level of the developmental course at the college level 099)</w:t>
            </w:r>
          </w:p>
          <w:p w:rsidR="00A84F33" w:rsidRDefault="00A84F33" w:rsidP="00A84F33">
            <w:pPr>
              <w:pStyle w:val="ListParagraph"/>
              <w:numPr>
                <w:ilvl w:val="0"/>
                <w:numId w:val="2"/>
              </w:numPr>
              <w:ind w:left="364"/>
            </w:pPr>
            <w:r>
              <w:t>Need a sustainability process to guide the adjustments that we will need to make over time to meet the vertical alignment needs for college success.</w:t>
            </w:r>
          </w:p>
          <w:p w:rsidR="00A84F33" w:rsidRDefault="00A84F33" w:rsidP="00A84F33">
            <w:pPr>
              <w:pStyle w:val="ListParagraph"/>
              <w:numPr>
                <w:ilvl w:val="0"/>
                <w:numId w:val="2"/>
              </w:numPr>
              <w:ind w:left="364"/>
            </w:pPr>
            <w:r>
              <w:t xml:space="preserve">What do we provide for students to ensure that after the class they can truly be successful in college level </w:t>
            </w:r>
            <w:proofErr w:type="gramStart"/>
            <w:r>
              <w:t>courses.</w:t>
            </w:r>
            <w:proofErr w:type="gramEnd"/>
            <w:r>
              <w:t xml:space="preserve"> At the college level, if students are unsuccessful in a 1301 course they take a module* to support their work.</w:t>
            </w:r>
          </w:p>
          <w:p w:rsidR="00A84F33" w:rsidRDefault="00A84F33" w:rsidP="00A84F33">
            <w:pPr>
              <w:pStyle w:val="ListParagraph"/>
              <w:numPr>
                <w:ilvl w:val="0"/>
                <w:numId w:val="2"/>
              </w:numPr>
              <w:ind w:left="364"/>
            </w:pPr>
            <w:r>
              <w:t xml:space="preserve">New TSI allows colleges to better understand the level of the students they serve. </w:t>
            </w:r>
            <w:proofErr w:type="spellStart"/>
            <w:r>
              <w:t>Moduled</w:t>
            </w:r>
            <w:proofErr w:type="spellEnd"/>
            <w:r>
              <w:t>* courses – a non-course based options (various delivery methods).</w:t>
            </w:r>
          </w:p>
          <w:p w:rsidR="00A84F33" w:rsidRPr="00525B33" w:rsidRDefault="00A84F33"/>
        </w:tc>
      </w:tr>
      <w:tr w:rsidR="00525B33" w:rsidRPr="00525B33" w:rsidTr="00525B33">
        <w:tc>
          <w:tcPr>
            <w:tcW w:w="4788" w:type="dxa"/>
          </w:tcPr>
          <w:p w:rsidR="00525B33" w:rsidRPr="00525B33" w:rsidRDefault="00525B33"/>
          <w:p w:rsidR="00525B33" w:rsidRDefault="00525B33" w:rsidP="00CE1892">
            <w:pPr>
              <w:pStyle w:val="Default"/>
              <w:rPr>
                <w:rFonts w:asciiTheme="minorHAnsi" w:hAnsiTheme="minorHAnsi"/>
                <w:sz w:val="22"/>
                <w:szCs w:val="22"/>
              </w:rPr>
            </w:pPr>
            <w:r w:rsidRPr="00525B33">
              <w:rPr>
                <w:rFonts w:asciiTheme="minorHAnsi" w:hAnsiTheme="minorHAnsi"/>
                <w:sz w:val="22"/>
                <w:szCs w:val="22"/>
              </w:rPr>
              <w:t xml:space="preserve">Commit to evaluate College Preparatory Courses developed by a regional partnership based on the success of local students, emerging practice around the state, and the characteristics and needs of the region and its population as represented by locally developed endorsements for high school graduation. </w:t>
            </w:r>
          </w:p>
          <w:p w:rsidR="00CE1892" w:rsidRPr="00525B33" w:rsidRDefault="00CE1892" w:rsidP="00CE1892">
            <w:pPr>
              <w:pStyle w:val="Default"/>
              <w:rPr>
                <w:rFonts w:asciiTheme="minorHAnsi" w:hAnsiTheme="minorHAnsi"/>
                <w:sz w:val="22"/>
                <w:szCs w:val="22"/>
              </w:rPr>
            </w:pPr>
          </w:p>
        </w:tc>
        <w:tc>
          <w:tcPr>
            <w:tcW w:w="4788" w:type="dxa"/>
          </w:tcPr>
          <w:p w:rsidR="00525B33" w:rsidRDefault="00525B33"/>
          <w:p w:rsidR="00C56780" w:rsidRDefault="00C4182A">
            <w:r>
              <w:t>Can we provide the results of reviews? Yes</w:t>
            </w:r>
          </w:p>
          <w:p w:rsidR="00C4182A" w:rsidRDefault="00C4182A"/>
          <w:p w:rsidR="00C4182A" w:rsidRDefault="00C4182A">
            <w:r>
              <w:t xml:space="preserve">Can the next round of reviews include college faculty and administration </w:t>
            </w:r>
            <w:proofErr w:type="gramStart"/>
            <w:r>
              <w:t>who</w:t>
            </w:r>
            <w:proofErr w:type="gramEnd"/>
            <w:r>
              <w:t xml:space="preserve"> are well acquainted with the requirements of TSIA and college readiness?</w:t>
            </w:r>
          </w:p>
          <w:p w:rsidR="00C4182A" w:rsidRDefault="00C4182A"/>
          <w:p w:rsidR="00C4182A" w:rsidRDefault="00C4182A">
            <w:r>
              <w:t>Can we evaluate existing programs around the state and compile data for use in deciding on how to best serve Region 10 students, ISDs, and college partners?</w:t>
            </w:r>
          </w:p>
          <w:p w:rsidR="00C4182A" w:rsidRDefault="00C4182A"/>
          <w:p w:rsidR="00C4182A" w:rsidRDefault="00C4182A">
            <w:r>
              <w:t>Shirley Mills, UT Pan Am will present at the NCTXCCC – Tarrant County March 27</w:t>
            </w:r>
            <w:r w:rsidRPr="00C4182A">
              <w:rPr>
                <w:vertAlign w:val="superscript"/>
              </w:rPr>
              <w:t>th</w:t>
            </w:r>
            <w:r>
              <w:t xml:space="preserve"> – can we meet with her that day? Convene a group to meet with Shirley during or after conference. </w:t>
            </w:r>
          </w:p>
          <w:p w:rsidR="00C4182A" w:rsidRDefault="00C4182A"/>
          <w:p w:rsidR="00C4182A" w:rsidRDefault="00C4182A"/>
          <w:p w:rsidR="00C56780" w:rsidRDefault="00C56780"/>
          <w:p w:rsidR="00C56780" w:rsidRDefault="00C56780"/>
          <w:p w:rsidR="00C56780" w:rsidRDefault="00C56780"/>
          <w:p w:rsidR="00C56780" w:rsidRDefault="00C56780"/>
          <w:p w:rsidR="00C56780" w:rsidRDefault="00C56780"/>
          <w:p w:rsidR="00C56780" w:rsidRPr="00525B33" w:rsidRDefault="00C56780"/>
        </w:tc>
      </w:tr>
      <w:tr w:rsidR="00A6558F" w:rsidRPr="00525B33" w:rsidTr="00525B33">
        <w:tc>
          <w:tcPr>
            <w:tcW w:w="4788" w:type="dxa"/>
          </w:tcPr>
          <w:p w:rsidR="00A6558F" w:rsidRPr="00F6400F" w:rsidRDefault="00A6558F">
            <w:pPr>
              <w:rPr>
                <w:b/>
              </w:rPr>
            </w:pPr>
            <w:r w:rsidRPr="00F6400F">
              <w:rPr>
                <w:b/>
              </w:rPr>
              <w:lastRenderedPageBreak/>
              <w:t>Amendment will allow for:</w:t>
            </w:r>
          </w:p>
        </w:tc>
        <w:tc>
          <w:tcPr>
            <w:tcW w:w="4788" w:type="dxa"/>
          </w:tcPr>
          <w:p w:rsidR="00A6558F" w:rsidRPr="00F6400F" w:rsidRDefault="00C56780">
            <w:pPr>
              <w:rPr>
                <w:b/>
              </w:rPr>
            </w:pPr>
            <w:r w:rsidRPr="00F6400F">
              <w:rPr>
                <w:b/>
              </w:rPr>
              <w:t>Resources</w:t>
            </w:r>
            <w:r w:rsidR="00A6558F" w:rsidRPr="00F6400F">
              <w:rPr>
                <w:b/>
              </w:rPr>
              <w:t xml:space="preserve"> available:</w:t>
            </w:r>
          </w:p>
        </w:tc>
      </w:tr>
      <w:tr w:rsidR="00730940" w:rsidRPr="00525B33" w:rsidTr="00525B33">
        <w:tc>
          <w:tcPr>
            <w:tcW w:w="4788" w:type="dxa"/>
          </w:tcPr>
          <w:p w:rsidR="00730940" w:rsidRDefault="00730940"/>
          <w:p w:rsidR="00720CAC" w:rsidRDefault="00A6558F" w:rsidP="00720CAC">
            <w:pPr>
              <w:rPr>
                <w:color w:val="000000"/>
              </w:rPr>
            </w:pPr>
            <w:r>
              <w:rPr>
                <w:color w:val="000000"/>
              </w:rPr>
              <w:t>VAT discussions and the creation of</w:t>
            </w:r>
            <w:r w:rsidR="00720CAC">
              <w:rPr>
                <w:color w:val="000000"/>
              </w:rPr>
              <w:t xml:space="preserve"> resources </w:t>
            </w:r>
            <w:r>
              <w:rPr>
                <w:color w:val="000000"/>
              </w:rPr>
              <w:t xml:space="preserve">that can </w:t>
            </w:r>
            <w:r w:rsidR="00720CAC">
              <w:rPr>
                <w:color w:val="000000"/>
              </w:rPr>
              <w:t xml:space="preserve">assist with: </w:t>
            </w:r>
          </w:p>
          <w:p w:rsidR="00720CAC" w:rsidRDefault="00720CAC" w:rsidP="00720CAC">
            <w:pPr>
              <w:rPr>
                <w:color w:val="000000"/>
              </w:rPr>
            </w:pPr>
            <w:r>
              <w:rPr>
                <w:color w:val="000000"/>
              </w:rPr>
              <w:t>--mapping the</w:t>
            </w:r>
            <w:r w:rsidR="00730940">
              <w:rPr>
                <w:color w:val="000000"/>
              </w:rPr>
              <w:t xml:space="preserve"> </w:t>
            </w:r>
            <w:r>
              <w:rPr>
                <w:color w:val="000000"/>
              </w:rPr>
              <w:t xml:space="preserve">vertical </w:t>
            </w:r>
            <w:r w:rsidR="00730940">
              <w:rPr>
                <w:color w:val="000000"/>
              </w:rPr>
              <w:t>alignment of planned end</w:t>
            </w:r>
            <w:r>
              <w:rPr>
                <w:color w:val="000000"/>
              </w:rPr>
              <w:t>orsements with college courses</w:t>
            </w:r>
          </w:p>
          <w:p w:rsidR="00720CAC" w:rsidRDefault="00720CAC" w:rsidP="00720CAC">
            <w:pPr>
              <w:rPr>
                <w:color w:val="000000"/>
              </w:rPr>
            </w:pPr>
            <w:r>
              <w:rPr>
                <w:color w:val="000000"/>
              </w:rPr>
              <w:t>--college prep course alignment/implementation</w:t>
            </w:r>
          </w:p>
          <w:p w:rsidR="00720CAC" w:rsidRDefault="00720CAC" w:rsidP="00720CAC">
            <w:pPr>
              <w:rPr>
                <w:color w:val="000000"/>
              </w:rPr>
            </w:pPr>
            <w:r>
              <w:rPr>
                <w:color w:val="000000"/>
              </w:rPr>
              <w:t>--aligning the</w:t>
            </w:r>
            <w:r w:rsidR="00730940">
              <w:rPr>
                <w:color w:val="000000"/>
              </w:rPr>
              <w:t xml:space="preserve"> core curriculum</w:t>
            </w:r>
            <w:r>
              <w:rPr>
                <w:color w:val="000000"/>
              </w:rPr>
              <w:t xml:space="preserve"> </w:t>
            </w:r>
          </w:p>
          <w:p w:rsidR="00730940" w:rsidRDefault="00720CAC" w:rsidP="00720CAC">
            <w:pPr>
              <w:rPr>
                <w:color w:val="000000"/>
              </w:rPr>
            </w:pPr>
            <w:r>
              <w:rPr>
                <w:color w:val="000000"/>
              </w:rPr>
              <w:t xml:space="preserve">--aligning </w:t>
            </w:r>
            <w:r w:rsidR="00730940">
              <w:rPr>
                <w:color w:val="000000"/>
              </w:rPr>
              <w:t xml:space="preserve">CTE </w:t>
            </w:r>
            <w:r>
              <w:rPr>
                <w:color w:val="000000"/>
              </w:rPr>
              <w:t>(and other) courses with 2 and 4 year college programs of study?</w:t>
            </w:r>
          </w:p>
          <w:p w:rsidR="00A6558F" w:rsidRPr="00720CAC" w:rsidRDefault="00A6558F" w:rsidP="00720CAC">
            <w:pPr>
              <w:rPr>
                <w:color w:val="000000"/>
              </w:rPr>
            </w:pPr>
          </w:p>
        </w:tc>
        <w:tc>
          <w:tcPr>
            <w:tcW w:w="4788" w:type="dxa"/>
          </w:tcPr>
          <w:p w:rsidR="00730940" w:rsidRDefault="00730940"/>
          <w:p w:rsidR="00795DA7" w:rsidRDefault="005E7482" w:rsidP="005E7482">
            <w:r>
              <w:t>--</w:t>
            </w:r>
            <w:r w:rsidR="00F6400F">
              <w:t>HB 5</w:t>
            </w:r>
            <w:r>
              <w:t xml:space="preserve"> Endorsement </w:t>
            </w:r>
            <w:r w:rsidR="00F6400F">
              <w:t>Planner</w:t>
            </w:r>
            <w:r>
              <w:t xml:space="preserve"> </w:t>
            </w:r>
            <w:hyperlink r:id="rId9" w:history="1">
              <w:r w:rsidR="00795DA7" w:rsidRPr="002B68B7">
                <w:rPr>
                  <w:rStyle w:val="Hyperlink"/>
                </w:rPr>
                <w:t>http://olc.region10.org/catalog/Resources/Professional-Learning-Communities/The-Principals-Portal</w:t>
              </w:r>
            </w:hyperlink>
            <w:r w:rsidR="00795DA7">
              <w:t xml:space="preserve"> </w:t>
            </w:r>
            <w:r w:rsidR="00F6400F">
              <w:t xml:space="preserve">(login as guest and click on the January 2015 folder) </w:t>
            </w:r>
          </w:p>
          <w:p w:rsidR="005E7482" w:rsidRDefault="005E7482"/>
          <w:p w:rsidR="00A6558F" w:rsidRDefault="00A6558F">
            <w:r>
              <w:t>--CPC course outlines</w:t>
            </w:r>
            <w:r w:rsidR="005E7482">
              <w:t xml:space="preserve"> </w:t>
            </w:r>
            <w:hyperlink r:id="rId10" w:history="1">
              <w:r w:rsidR="005E7482" w:rsidRPr="002B68B7">
                <w:rPr>
                  <w:rStyle w:val="Hyperlink"/>
                </w:rPr>
                <w:t>https://tinyurl.com/mathCPC</w:t>
              </w:r>
            </w:hyperlink>
            <w:r w:rsidR="005E7482">
              <w:t xml:space="preserve"> and </w:t>
            </w:r>
            <w:hyperlink r:id="rId11" w:history="1">
              <w:r w:rsidR="005E7482" w:rsidRPr="002B68B7">
                <w:rPr>
                  <w:rStyle w:val="Hyperlink"/>
                </w:rPr>
                <w:t>https://tinyurl.com/ELACPC</w:t>
              </w:r>
            </w:hyperlink>
            <w:r w:rsidR="005E7482">
              <w:t xml:space="preserve"> </w:t>
            </w:r>
            <w:r w:rsidR="00F6400F">
              <w:t xml:space="preserve"> - </w:t>
            </w:r>
            <w:r w:rsidR="007B411D">
              <w:t>Enrollment Key Required</w:t>
            </w:r>
            <w:bookmarkStart w:id="0" w:name="_GoBack"/>
            <w:bookmarkEnd w:id="0"/>
          </w:p>
          <w:p w:rsidR="00C56780" w:rsidRDefault="00C56780"/>
          <w:p w:rsidR="00C4182A" w:rsidRDefault="00C4182A">
            <w:r>
              <w:t xml:space="preserve">Do any endorsements involve CTE programs? CTE students are outperforming many </w:t>
            </w:r>
            <w:r w:rsidR="007F1E12">
              <w:t>non-CTE students nationwide.</w:t>
            </w:r>
          </w:p>
          <w:p w:rsidR="007F1E12" w:rsidRDefault="007F1E12"/>
          <w:p w:rsidR="007F1E12" w:rsidRDefault="007F1E12">
            <w:r>
              <w:t>Discussions to ensure that colleges and ISDs are aligned with endorsements including CTE pathways. What needs to be addressed and discussed? Highest priorities?</w:t>
            </w:r>
          </w:p>
          <w:p w:rsidR="007F1E12" w:rsidRDefault="007F1E12"/>
          <w:p w:rsidR="007F1E12" w:rsidRDefault="007F1E12">
            <w:r>
              <w:t xml:space="preserve">Vertical alignment discussions to ensure workforce readiness for students to positively impact student lives. </w:t>
            </w:r>
          </w:p>
          <w:p w:rsidR="007F1E12" w:rsidRDefault="007F1E12"/>
          <w:p w:rsidR="007F1E12" w:rsidRDefault="007F1E12">
            <w:r>
              <w:t xml:space="preserve">Dallas is using projections to backtrack to the pathways students can take in HS </w:t>
            </w:r>
            <w:r>
              <w:sym w:font="Wingdings" w:char="F0E0"/>
            </w:r>
            <w:r>
              <w:t xml:space="preserve"> college. </w:t>
            </w:r>
          </w:p>
          <w:p w:rsidR="007F1E12" w:rsidRDefault="007F1E12"/>
          <w:p w:rsidR="007F1E12" w:rsidRDefault="007F1E12">
            <w:r>
              <w:t xml:space="preserve">Dual credit, CTE pathways </w:t>
            </w:r>
            <w:r>
              <w:sym w:font="Wingdings" w:char="F0E0"/>
            </w:r>
            <w:r>
              <w:t xml:space="preserve"> work-ready certificate </w:t>
            </w:r>
            <w:r>
              <w:sym w:font="Wingdings" w:char="F0E0"/>
            </w:r>
            <w:r>
              <w:t xml:space="preserve"> into workforce or additional higher </w:t>
            </w:r>
            <w:proofErr w:type="spellStart"/>
            <w:r>
              <w:t>ed</w:t>
            </w:r>
            <w:proofErr w:type="spellEnd"/>
          </w:p>
          <w:p w:rsidR="007F1E12" w:rsidRDefault="007F1E12"/>
          <w:p w:rsidR="007F1E12" w:rsidRDefault="007F1E12">
            <w:r>
              <w:t xml:space="preserve">NAFF Academies = appropriate dual credit opportunities for students through Brookhaven </w:t>
            </w:r>
          </w:p>
          <w:p w:rsidR="007F1E12" w:rsidRDefault="007F1E12"/>
          <w:p w:rsidR="007F1E12" w:rsidRDefault="008E0F3F">
            <w:r>
              <w:t>Dallas is working on data analytic tool to calculate what endorsements students can graduate with based on coursework.</w:t>
            </w:r>
          </w:p>
          <w:p w:rsidR="00C56780" w:rsidRDefault="00C56780"/>
          <w:p w:rsidR="00C56780" w:rsidRPr="00525B33" w:rsidRDefault="00C56780"/>
        </w:tc>
      </w:tr>
      <w:tr w:rsidR="00A6558F" w:rsidRPr="00525B33" w:rsidTr="00525B33">
        <w:tc>
          <w:tcPr>
            <w:tcW w:w="4788" w:type="dxa"/>
          </w:tcPr>
          <w:p w:rsidR="00A6558F" w:rsidRDefault="00A6558F"/>
          <w:p w:rsidR="00A6558F" w:rsidRDefault="00A6558F">
            <w:r>
              <w:t>Areas to Explore</w:t>
            </w:r>
          </w:p>
          <w:p w:rsidR="00A6558F" w:rsidRDefault="00A6558F"/>
          <w:p w:rsidR="00A6558F" w:rsidRDefault="00A6558F"/>
          <w:p w:rsidR="00A6558F" w:rsidRDefault="00A6558F"/>
          <w:p w:rsidR="00A6558F" w:rsidRDefault="00A6558F"/>
          <w:p w:rsidR="00A6558F" w:rsidRDefault="00A6558F"/>
          <w:p w:rsidR="00A6558F" w:rsidRDefault="00A6558F"/>
          <w:p w:rsidR="00A6558F" w:rsidRDefault="00A6558F"/>
        </w:tc>
        <w:tc>
          <w:tcPr>
            <w:tcW w:w="4788" w:type="dxa"/>
          </w:tcPr>
          <w:p w:rsidR="00A6558F" w:rsidRPr="00901AE3" w:rsidRDefault="008E0F3F" w:rsidP="008E0F3F">
            <w:pPr>
              <w:pStyle w:val="ListParagraph"/>
              <w:numPr>
                <w:ilvl w:val="0"/>
                <w:numId w:val="3"/>
              </w:numPr>
              <w:rPr>
                <w:highlight w:val="yellow"/>
              </w:rPr>
            </w:pPr>
            <w:r w:rsidRPr="00901AE3">
              <w:rPr>
                <w:highlight w:val="yellow"/>
              </w:rPr>
              <w:t>Collect information on developers and reviewers and responses from surveys</w:t>
            </w:r>
            <w:r w:rsidR="008234B2" w:rsidRPr="00901AE3">
              <w:rPr>
                <w:highlight w:val="yellow"/>
              </w:rPr>
              <w:t xml:space="preserve"> (Kay and Beth will send to Dana to share with the group)</w:t>
            </w:r>
          </w:p>
          <w:p w:rsidR="008E0F3F" w:rsidRDefault="008E0F3F" w:rsidP="008E0F3F">
            <w:pPr>
              <w:pStyle w:val="ListParagraph"/>
              <w:numPr>
                <w:ilvl w:val="0"/>
                <w:numId w:val="3"/>
              </w:numPr>
              <w:rPr>
                <w:highlight w:val="yellow"/>
              </w:rPr>
            </w:pPr>
            <w:r w:rsidRPr="00901AE3">
              <w:rPr>
                <w:highlight w:val="yellow"/>
              </w:rPr>
              <w:t xml:space="preserve">Identify the next round of reviewers </w:t>
            </w:r>
            <w:r w:rsidR="008234B2" w:rsidRPr="00901AE3">
              <w:rPr>
                <w:highlight w:val="yellow"/>
              </w:rPr>
              <w:t xml:space="preserve">that represent a vertical team of </w:t>
            </w:r>
            <w:r w:rsidR="00BC1922" w:rsidRPr="00901AE3">
              <w:rPr>
                <w:highlight w:val="yellow"/>
              </w:rPr>
              <w:t>reviewers – community colleges, universities, high schools?</w:t>
            </w:r>
          </w:p>
          <w:p w:rsidR="00901AE3" w:rsidRDefault="00901AE3" w:rsidP="008E0F3F">
            <w:pPr>
              <w:pStyle w:val="ListParagraph"/>
              <w:numPr>
                <w:ilvl w:val="0"/>
                <w:numId w:val="3"/>
              </w:numPr>
              <w:rPr>
                <w:highlight w:val="yellow"/>
              </w:rPr>
            </w:pPr>
            <w:r>
              <w:rPr>
                <w:highlight w:val="yellow"/>
              </w:rPr>
              <w:t>Provide c</w:t>
            </w:r>
            <w:r w:rsidR="005363B3">
              <w:rPr>
                <w:highlight w:val="yellow"/>
              </w:rPr>
              <w:t>ontact information from each entity – Region 10 will identify ISD representatives.</w:t>
            </w:r>
          </w:p>
          <w:p w:rsidR="00BC1922" w:rsidRDefault="00BC1922" w:rsidP="008E0F3F">
            <w:pPr>
              <w:pStyle w:val="ListParagraph"/>
              <w:numPr>
                <w:ilvl w:val="0"/>
                <w:numId w:val="3"/>
              </w:numPr>
              <w:rPr>
                <w:highlight w:val="yellow"/>
              </w:rPr>
            </w:pPr>
            <w:r w:rsidRPr="005363B3">
              <w:rPr>
                <w:highlight w:val="yellow"/>
              </w:rPr>
              <w:t>Design a rubric to analyze the content</w:t>
            </w:r>
            <w:r w:rsidR="00C37193">
              <w:rPr>
                <w:highlight w:val="yellow"/>
              </w:rPr>
              <w:t xml:space="preserve"> – region 10 will start.</w:t>
            </w:r>
          </w:p>
          <w:p w:rsidR="005363B3" w:rsidRPr="005363B3" w:rsidRDefault="005363B3" w:rsidP="008E0F3F">
            <w:pPr>
              <w:pStyle w:val="ListParagraph"/>
              <w:numPr>
                <w:ilvl w:val="0"/>
                <w:numId w:val="3"/>
              </w:numPr>
              <w:rPr>
                <w:highlight w:val="yellow"/>
              </w:rPr>
            </w:pPr>
            <w:r>
              <w:rPr>
                <w:highlight w:val="yellow"/>
              </w:rPr>
              <w:t>Meeting on March 27</w:t>
            </w:r>
            <w:r w:rsidRPr="005363B3">
              <w:rPr>
                <w:highlight w:val="yellow"/>
                <w:vertAlign w:val="superscript"/>
              </w:rPr>
              <w:t>th</w:t>
            </w:r>
            <w:r>
              <w:rPr>
                <w:highlight w:val="yellow"/>
              </w:rPr>
              <w:t xml:space="preserve"> – Mary will work on details. If this does not work out we will adjust.</w:t>
            </w:r>
          </w:p>
          <w:p w:rsidR="00BC1922" w:rsidRDefault="00BC1922" w:rsidP="00BC1922">
            <w:pPr>
              <w:pStyle w:val="ListParagraph"/>
              <w:numPr>
                <w:ilvl w:val="0"/>
                <w:numId w:val="3"/>
              </w:numPr>
            </w:pPr>
            <w:r>
              <w:t>Provide a meeting with MOU partners to discuss and conduct future planning (focus group at CD meeting to start?)</w:t>
            </w:r>
          </w:p>
          <w:p w:rsidR="008E0F3F" w:rsidRDefault="008E0F3F" w:rsidP="008E0F3F">
            <w:pPr>
              <w:pStyle w:val="ListParagraph"/>
              <w:numPr>
                <w:ilvl w:val="0"/>
                <w:numId w:val="3"/>
              </w:numPr>
            </w:pPr>
            <w:r>
              <w:t xml:space="preserve">Reviewers will analyze responses from first review and provide observations and </w:t>
            </w:r>
            <w:r>
              <w:lastRenderedPageBreak/>
              <w:t>recommendations about each course (we need recommendations for reviewers)</w:t>
            </w:r>
          </w:p>
          <w:p w:rsidR="008234B2" w:rsidRPr="00525B33" w:rsidRDefault="008234B2" w:rsidP="00901AE3">
            <w:pPr>
              <w:pStyle w:val="ListParagraph"/>
            </w:pPr>
          </w:p>
        </w:tc>
      </w:tr>
      <w:tr w:rsidR="00A6558F" w:rsidRPr="00525B33" w:rsidTr="00A6558F">
        <w:tc>
          <w:tcPr>
            <w:tcW w:w="4788" w:type="dxa"/>
          </w:tcPr>
          <w:p w:rsidR="00A6558F" w:rsidRDefault="00A6558F" w:rsidP="00E01158"/>
          <w:p w:rsidR="00A6558F" w:rsidRDefault="00A6558F" w:rsidP="00E01158">
            <w:r>
              <w:t>Future Meetings and Assignments</w:t>
            </w:r>
          </w:p>
          <w:p w:rsidR="00A6558F" w:rsidRDefault="00A6558F" w:rsidP="00E01158"/>
          <w:p w:rsidR="00A6558F" w:rsidRDefault="00A6558F" w:rsidP="00E01158"/>
          <w:p w:rsidR="00C56780" w:rsidRDefault="00C56780" w:rsidP="00E01158"/>
          <w:p w:rsidR="00C56780" w:rsidRDefault="00C56780" w:rsidP="00E01158"/>
          <w:p w:rsidR="00A6558F" w:rsidRDefault="00A6558F" w:rsidP="00E01158"/>
          <w:p w:rsidR="00A6558F" w:rsidRDefault="00A6558F" w:rsidP="00E01158"/>
          <w:p w:rsidR="00A6558F" w:rsidRDefault="00A6558F" w:rsidP="00E01158"/>
          <w:p w:rsidR="00A6558F" w:rsidRDefault="00A6558F" w:rsidP="00E01158"/>
          <w:p w:rsidR="00A6558F" w:rsidRDefault="00A6558F" w:rsidP="00E01158"/>
        </w:tc>
        <w:tc>
          <w:tcPr>
            <w:tcW w:w="4788" w:type="dxa"/>
          </w:tcPr>
          <w:p w:rsidR="00A6558F" w:rsidRPr="00525B33" w:rsidRDefault="00A6558F" w:rsidP="00E01158"/>
        </w:tc>
      </w:tr>
    </w:tbl>
    <w:p w:rsidR="004C4385" w:rsidRDefault="004C4385"/>
    <w:p w:rsidR="00A6558F" w:rsidRDefault="00F6400F" w:rsidP="00F6400F">
      <w:pPr>
        <w:jc w:val="center"/>
      </w:pPr>
      <w:r>
        <w:t xml:space="preserve">Past VAT resources and meeting minutes are available </w:t>
      </w:r>
      <w:hyperlink r:id="rId12" w:history="1">
        <w:r w:rsidRPr="002B68B7">
          <w:rPr>
            <w:rStyle w:val="Hyperlink"/>
          </w:rPr>
          <w:t>www.untavatar.org</w:t>
        </w:r>
      </w:hyperlink>
      <w:r>
        <w:t xml:space="preserve"> – click on Files and then Region 10. For more information about the Region 10 ESC, visit </w:t>
      </w:r>
      <w:hyperlink r:id="rId13" w:history="1">
        <w:r w:rsidRPr="002B68B7">
          <w:rPr>
            <w:rStyle w:val="Hyperlink"/>
          </w:rPr>
          <w:t>www.region10.org</w:t>
        </w:r>
      </w:hyperlink>
      <w:r>
        <w:t>.</w:t>
      </w:r>
    </w:p>
    <w:sectPr w:rsidR="00A6558F" w:rsidSect="00CE1892">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648A5"/>
    <w:multiLevelType w:val="hybridMultilevel"/>
    <w:tmpl w:val="FE1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D50D2A"/>
    <w:multiLevelType w:val="hybridMultilevel"/>
    <w:tmpl w:val="7762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733123"/>
    <w:multiLevelType w:val="hybridMultilevel"/>
    <w:tmpl w:val="2C1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33"/>
    <w:rsid w:val="00166FC9"/>
    <w:rsid w:val="001B568D"/>
    <w:rsid w:val="00381FA4"/>
    <w:rsid w:val="004C4385"/>
    <w:rsid w:val="00525B33"/>
    <w:rsid w:val="005363B3"/>
    <w:rsid w:val="005A3B0F"/>
    <w:rsid w:val="005E7482"/>
    <w:rsid w:val="00653009"/>
    <w:rsid w:val="00720CAC"/>
    <w:rsid w:val="00730940"/>
    <w:rsid w:val="00795DA7"/>
    <w:rsid w:val="007B411D"/>
    <w:rsid w:val="007B4607"/>
    <w:rsid w:val="007F1E12"/>
    <w:rsid w:val="008234B2"/>
    <w:rsid w:val="008E0F3F"/>
    <w:rsid w:val="00901AE3"/>
    <w:rsid w:val="00A61B7B"/>
    <w:rsid w:val="00A6558F"/>
    <w:rsid w:val="00A84F33"/>
    <w:rsid w:val="00BC1922"/>
    <w:rsid w:val="00BC3CFE"/>
    <w:rsid w:val="00C37193"/>
    <w:rsid w:val="00C4182A"/>
    <w:rsid w:val="00C56780"/>
    <w:rsid w:val="00CE1892"/>
    <w:rsid w:val="00DD274E"/>
    <w:rsid w:val="00F6400F"/>
    <w:rsid w:val="00FF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5B3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E1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892"/>
    <w:rPr>
      <w:rFonts w:ascii="Tahoma" w:hAnsi="Tahoma" w:cs="Tahoma"/>
      <w:sz w:val="16"/>
      <w:szCs w:val="16"/>
    </w:rPr>
  </w:style>
  <w:style w:type="character" w:styleId="Hyperlink">
    <w:name w:val="Hyperlink"/>
    <w:basedOn w:val="DefaultParagraphFont"/>
    <w:uiPriority w:val="99"/>
    <w:unhideWhenUsed/>
    <w:rsid w:val="005E7482"/>
    <w:rPr>
      <w:color w:val="0000FF" w:themeColor="hyperlink"/>
      <w:u w:val="single"/>
    </w:rPr>
  </w:style>
  <w:style w:type="paragraph" w:styleId="ListParagraph">
    <w:name w:val="List Paragraph"/>
    <w:basedOn w:val="Normal"/>
    <w:uiPriority w:val="34"/>
    <w:qFormat/>
    <w:rsid w:val="007B4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5B3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E1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892"/>
    <w:rPr>
      <w:rFonts w:ascii="Tahoma" w:hAnsi="Tahoma" w:cs="Tahoma"/>
      <w:sz w:val="16"/>
      <w:szCs w:val="16"/>
    </w:rPr>
  </w:style>
  <w:style w:type="character" w:styleId="Hyperlink">
    <w:name w:val="Hyperlink"/>
    <w:basedOn w:val="DefaultParagraphFont"/>
    <w:uiPriority w:val="99"/>
    <w:unhideWhenUsed/>
    <w:rsid w:val="005E7482"/>
    <w:rPr>
      <w:color w:val="0000FF" w:themeColor="hyperlink"/>
      <w:u w:val="single"/>
    </w:rPr>
  </w:style>
  <w:style w:type="paragraph" w:styleId="ListParagraph">
    <w:name w:val="List Paragraph"/>
    <w:basedOn w:val="Normal"/>
    <w:uiPriority w:val="34"/>
    <w:qFormat/>
    <w:rsid w:val="007B4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gion10.or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untavata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nyurl.com/ELACP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inyurl.com/mathCPC" TargetMode="External"/><Relationship Id="rId4" Type="http://schemas.microsoft.com/office/2007/relationships/stylesWithEffects" Target="stylesWithEffects.xml"/><Relationship Id="rId9" Type="http://schemas.openxmlformats.org/officeDocument/2006/relationships/hyperlink" Target="http://olc.region10.org/catalog/Resources/Professional-Learning-Communities/The-Principals-Port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2F476-A113-46B9-B5C0-27DD4670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Region 10</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Grieb</dc:creator>
  <cp:lastModifiedBy>Dana Grieb</cp:lastModifiedBy>
  <cp:revision>3</cp:revision>
  <cp:lastPrinted>2015-02-19T15:29:00Z</cp:lastPrinted>
  <dcterms:created xsi:type="dcterms:W3CDTF">2015-02-20T18:01:00Z</dcterms:created>
  <dcterms:modified xsi:type="dcterms:W3CDTF">2015-02-20T18:42:00Z</dcterms:modified>
</cp:coreProperties>
</file>