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D14026" w:rsidRPr="00D14026">
        <w:rPr>
          <w:rFonts w:cstheme="minorHAnsi"/>
          <w:b/>
          <w:sz w:val="24"/>
          <w:szCs w:val="24"/>
          <w:u w:val="single"/>
        </w:rPr>
        <w:t>ESC Region XIII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FA7F3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ACC Highland Campus Avatar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FA7F3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To decide on our product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A67D68" w:rsidP="00E47DF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D14026">
              <w:rPr>
                <w:rFonts w:cstheme="minorHAnsi"/>
              </w:rPr>
              <w:t>-</w:t>
            </w:r>
            <w:r>
              <w:rPr>
                <w:rFonts w:cstheme="minorHAnsi"/>
              </w:rPr>
              <w:t>26</w:t>
            </w:r>
            <w:r w:rsidR="00D14026">
              <w:rPr>
                <w:rFonts w:cstheme="minorHAnsi"/>
              </w:rPr>
              <w:t>-12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5:00 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7F3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6:45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E47DF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  <w:r w:rsidR="00D14026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47DF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ACC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252DA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676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252DA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5:00-</w:t>
            </w:r>
            <w:r w:rsidR="002B10A3">
              <w:rPr>
                <w:rFonts w:cstheme="minorHAnsi"/>
              </w:rPr>
              <w:t>5:40</w:t>
            </w:r>
          </w:p>
        </w:tc>
        <w:tc>
          <w:tcPr>
            <w:tcW w:w="3870" w:type="dxa"/>
            <w:vAlign w:val="center"/>
          </w:tcPr>
          <w:p w:rsidR="00007C40" w:rsidRPr="00007C40" w:rsidRDefault="00BC7965" w:rsidP="002B1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Summary of </w:t>
            </w:r>
            <w:r w:rsidR="002B10A3">
              <w:rPr>
                <w:rFonts w:cstheme="minorHAnsi"/>
              </w:rPr>
              <w:t xml:space="preserve">Wendy’s </w:t>
            </w:r>
            <w:r>
              <w:rPr>
                <w:rFonts w:cstheme="minorHAnsi"/>
              </w:rPr>
              <w:t>research.</w:t>
            </w:r>
          </w:p>
        </w:tc>
        <w:tc>
          <w:tcPr>
            <w:tcW w:w="1620" w:type="dxa"/>
            <w:vAlign w:val="center"/>
          </w:tcPr>
          <w:p w:rsidR="00007C40" w:rsidRPr="00007C40" w:rsidRDefault="00BC796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BC796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Wendy</w:t>
            </w:r>
          </w:p>
        </w:tc>
        <w:tc>
          <w:tcPr>
            <w:tcW w:w="4428" w:type="dxa"/>
            <w:vAlign w:val="center"/>
          </w:tcPr>
          <w:p w:rsidR="00007C40" w:rsidRPr="00007C40" w:rsidRDefault="00B676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See Wendy’s handout.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2B10A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5:40-</w:t>
            </w:r>
            <w:r w:rsidR="00607EEE">
              <w:rPr>
                <w:rFonts w:cstheme="minorHAnsi"/>
              </w:rPr>
              <w:t>6:00</w:t>
            </w:r>
          </w:p>
        </w:tc>
        <w:tc>
          <w:tcPr>
            <w:tcW w:w="3870" w:type="dxa"/>
            <w:vAlign w:val="center"/>
          </w:tcPr>
          <w:p w:rsidR="00007C40" w:rsidRPr="00007C40" w:rsidRDefault="00AD675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avatar?</w:t>
            </w:r>
          </w:p>
        </w:tc>
        <w:tc>
          <w:tcPr>
            <w:tcW w:w="1620" w:type="dxa"/>
            <w:vAlign w:val="center"/>
          </w:tcPr>
          <w:p w:rsidR="00007C40" w:rsidRPr="00007C40" w:rsidRDefault="00AD675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2B10A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Gary</w:t>
            </w:r>
          </w:p>
        </w:tc>
        <w:tc>
          <w:tcPr>
            <w:tcW w:w="4428" w:type="dxa"/>
            <w:vAlign w:val="center"/>
          </w:tcPr>
          <w:p w:rsidR="00007C40" w:rsidRPr="00007C40" w:rsidRDefault="00B501A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Gary gave a summary of how the project came about and future steps which include developing a workshop based off of Wendy’s research.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607EE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6:00-</w:t>
            </w:r>
            <w:r w:rsidR="00B676B2">
              <w:rPr>
                <w:rFonts w:cstheme="minorHAnsi"/>
              </w:rPr>
              <w:t>6:45</w:t>
            </w:r>
          </w:p>
        </w:tc>
        <w:tc>
          <w:tcPr>
            <w:tcW w:w="3870" w:type="dxa"/>
            <w:vAlign w:val="center"/>
          </w:tcPr>
          <w:p w:rsidR="00007C40" w:rsidRPr="00007C40" w:rsidRDefault="00607EE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will our “product” be?</w:t>
            </w:r>
          </w:p>
        </w:tc>
        <w:tc>
          <w:tcPr>
            <w:tcW w:w="1620" w:type="dxa"/>
            <w:vAlign w:val="center"/>
          </w:tcPr>
          <w:p w:rsidR="00007C40" w:rsidRPr="00007C40" w:rsidRDefault="00607EE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607EE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Wendy</w:t>
            </w:r>
          </w:p>
        </w:tc>
        <w:tc>
          <w:tcPr>
            <w:tcW w:w="4428" w:type="dxa"/>
            <w:vAlign w:val="center"/>
          </w:tcPr>
          <w:p w:rsidR="00007C40" w:rsidRPr="00007C40" w:rsidRDefault="00B501AE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of the importance of reading comprehension skills based on Schell’s workshop.  Give students ownership of reading.  </w:t>
            </w:r>
            <w:r w:rsidR="00551D49">
              <w:rPr>
                <w:rFonts w:cstheme="minorHAnsi"/>
              </w:rPr>
              <w:t xml:space="preserve">We ranked the 9 steps </w:t>
            </w:r>
            <w:r w:rsidR="00484D52">
              <w:rPr>
                <w:rFonts w:cstheme="minorHAnsi"/>
              </w:rPr>
              <w:t xml:space="preserve">from Wendy’s </w:t>
            </w:r>
            <w:r w:rsidR="00484D52">
              <w:rPr>
                <w:rFonts w:cstheme="minorHAnsi"/>
              </w:rPr>
              <w:lastRenderedPageBreak/>
              <w:t xml:space="preserve">research </w:t>
            </w:r>
            <w:r w:rsidR="00551D49">
              <w:rPr>
                <w:rFonts w:cstheme="minorHAnsi"/>
              </w:rPr>
              <w:t>in order of most pressing</w:t>
            </w:r>
            <w:r w:rsidR="00484D52">
              <w:rPr>
                <w:rFonts w:cstheme="minorHAnsi"/>
              </w:rPr>
              <w:t xml:space="preserve"> to least</w:t>
            </w:r>
            <w:r w:rsidR="00551D49">
              <w:rPr>
                <w:rFonts w:cstheme="minorHAnsi"/>
              </w:rPr>
              <w:t>.</w:t>
            </w:r>
            <w:r w:rsidR="00484D52">
              <w:rPr>
                <w:rFonts w:cstheme="minorHAnsi"/>
              </w:rPr>
              <w:t xml:space="preserve">  We discussed co-</w:t>
            </w:r>
            <w:r w:rsidR="00026C26">
              <w:rPr>
                <w:rFonts w:cstheme="minorHAnsi"/>
              </w:rPr>
              <w:t xml:space="preserve">presenting a workshop.  Discussed why CCRS has left on the roadside.  </w:t>
            </w:r>
            <w:r w:rsidR="00143967">
              <w:rPr>
                <w:rFonts w:cstheme="minorHAnsi"/>
              </w:rPr>
              <w:t xml:space="preserve">We want to make a video of the presentation to turn into a product. Partnering college prof with </w:t>
            </w:r>
            <w:proofErr w:type="spellStart"/>
            <w:r w:rsidR="00143967">
              <w:rPr>
                <w:rFonts w:cstheme="minorHAnsi"/>
              </w:rPr>
              <w:t>hs</w:t>
            </w:r>
            <w:proofErr w:type="spellEnd"/>
            <w:r w:rsidR="00143967">
              <w:rPr>
                <w:rFonts w:cstheme="minorHAnsi"/>
              </w:rPr>
              <w:t xml:space="preserve"> teachers.</w:t>
            </w:r>
            <w:r w:rsidR="001E3FC7">
              <w:rPr>
                <w:rFonts w:cstheme="minorHAnsi"/>
              </w:rPr>
              <w:t xml:space="preserve"> Teach profs about STAAR.  Bring vertical teams.</w:t>
            </w:r>
            <w:r w:rsidR="00435E5F">
              <w:rPr>
                <w:rFonts w:cstheme="minorHAnsi"/>
              </w:rPr>
              <w:t xml:space="preserve"> Need to explore financing with Ed and </w:t>
            </w:r>
            <w:proofErr w:type="spellStart"/>
            <w:r w:rsidR="00435E5F">
              <w:rPr>
                <w:rFonts w:cstheme="minorHAnsi"/>
              </w:rPr>
              <w:t>Jenn</w:t>
            </w:r>
            <w:proofErr w:type="spellEnd"/>
            <w:r w:rsidR="00435E5F">
              <w:rPr>
                <w:rFonts w:cstheme="minorHAnsi"/>
              </w:rPr>
              <w:t>.</w:t>
            </w:r>
            <w:r w:rsidR="004B5079">
              <w:rPr>
                <w:rFonts w:cstheme="minorHAnsi"/>
              </w:rPr>
              <w:t xml:space="preserve">  Workshop date t</w:t>
            </w:r>
            <w:r w:rsidR="00C3665B">
              <w:rPr>
                <w:rFonts w:cstheme="minorHAnsi"/>
              </w:rPr>
              <w:t>argeted late April or May.</w:t>
            </w:r>
            <w:r w:rsidR="004C2FAF">
              <w:rPr>
                <w:rFonts w:cstheme="minorHAnsi"/>
              </w:rPr>
              <w:t xml:space="preserve"> </w:t>
            </w:r>
            <w:r w:rsidR="002E2885">
              <w:rPr>
                <w:rFonts w:cstheme="minorHAnsi"/>
              </w:rPr>
              <w:t xml:space="preserve"> Could we run the session twice—in September?</w:t>
            </w:r>
            <w:r w:rsidR="004B5079">
              <w:rPr>
                <w:rFonts w:cstheme="minorHAnsi"/>
              </w:rPr>
              <w:t xml:space="preserve">  Can we get Steve Frank to present on importance of reading and writing to careers?  Can we find more grant money to support future work?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lastRenderedPageBreak/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BC7965" w:rsidP="00441B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exemplar STAAR essays</w:t>
            </w:r>
            <w:r w:rsidR="005B6A93">
              <w:rPr>
                <w:rFonts w:cstheme="minorHAnsi"/>
                <w:sz w:val="20"/>
                <w:szCs w:val="20"/>
              </w:rPr>
              <w:t>.  All about STAAR</w:t>
            </w:r>
            <w:r w:rsidR="00034655">
              <w:rPr>
                <w:rFonts w:cstheme="minorHAnsi"/>
                <w:sz w:val="20"/>
                <w:szCs w:val="20"/>
              </w:rPr>
              <w:t>.  Find out about funding.</w:t>
            </w:r>
          </w:p>
        </w:tc>
        <w:tc>
          <w:tcPr>
            <w:tcW w:w="3780" w:type="dxa"/>
          </w:tcPr>
          <w:p w:rsidR="00EC4FB6" w:rsidRPr="00EC4FB6" w:rsidRDefault="00BC7965" w:rsidP="00A67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Susan </w:t>
            </w:r>
          </w:p>
        </w:tc>
        <w:tc>
          <w:tcPr>
            <w:tcW w:w="3078" w:type="dxa"/>
          </w:tcPr>
          <w:p w:rsidR="00EC4FB6" w:rsidRPr="00EC4FB6" w:rsidRDefault="002E0E9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12/10/2012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5B6A93" w:rsidP="005B6A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Academic skills and nonacademic behaviors and independent learning </w:t>
            </w:r>
          </w:p>
        </w:tc>
        <w:tc>
          <w:tcPr>
            <w:tcW w:w="3780" w:type="dxa"/>
          </w:tcPr>
          <w:p w:rsidR="00EC4FB6" w:rsidRPr="00EC4FB6" w:rsidRDefault="005B6A93" w:rsidP="00EC4F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Stacia</w:t>
            </w:r>
            <w:proofErr w:type="spellEnd"/>
          </w:p>
        </w:tc>
        <w:tc>
          <w:tcPr>
            <w:tcW w:w="3078" w:type="dxa"/>
          </w:tcPr>
          <w:p w:rsidR="00EC4FB6" w:rsidRPr="00EC4FB6" w:rsidRDefault="002E0E9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12/10/2012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5B6A9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Nonfiction</w:t>
            </w:r>
          </w:p>
        </w:tc>
        <w:tc>
          <w:tcPr>
            <w:tcW w:w="3780" w:type="dxa"/>
          </w:tcPr>
          <w:p w:rsidR="00EC4FB6" w:rsidRPr="00EC4FB6" w:rsidRDefault="005B6A9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John</w:t>
            </w:r>
          </w:p>
        </w:tc>
        <w:tc>
          <w:tcPr>
            <w:tcW w:w="3078" w:type="dxa"/>
          </w:tcPr>
          <w:p w:rsidR="00EC4FB6" w:rsidRPr="00EC4FB6" w:rsidRDefault="002E0E9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12/10/2012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5B6A9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about success and syllabi/ACC expectations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5B6A9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Wendy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2E0E9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12/10/2012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7764C0" w:rsidRDefault="00EC4FB6" w:rsidP="00EC4FB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764C0">
              <w:rPr>
                <w:rFonts w:cstheme="minorHAnsi"/>
                <w:b/>
                <w:i/>
                <w:sz w:val="20"/>
                <w:szCs w:val="20"/>
              </w:rPr>
              <w:t>Notes</w:t>
            </w:r>
          </w:p>
        </w:tc>
      </w:tr>
      <w:tr w:rsidR="00EC4FB6" w:rsidRPr="00EC4FB6" w:rsidTr="007764C0">
        <w:trPr>
          <w:trHeight w:val="2114"/>
        </w:trPr>
        <w:tc>
          <w:tcPr>
            <w:tcW w:w="13896" w:type="dxa"/>
            <w:gridSpan w:val="3"/>
          </w:tcPr>
          <w:p w:rsidR="00EC4FB6" w:rsidRPr="007764C0" w:rsidRDefault="00EC4FB6" w:rsidP="00EC4FB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Susan Diaz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Literacy Specialist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D1402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XIII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 Madsen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Director, P-16 Initiatives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 Community College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Wendy </w:t>
            </w:r>
            <w:proofErr w:type="spellStart"/>
            <w:r>
              <w:rPr>
                <w:rFonts w:ascii="Calibri" w:hAnsi="Calibri" w:cs="Calibri"/>
                <w:color w:val="000000"/>
              </w:rPr>
              <w:t>Lym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Professor, Associate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 Community College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I. </w:t>
            </w:r>
            <w:proofErr w:type="spellStart"/>
            <w:r>
              <w:rPr>
                <w:rFonts w:ascii="Calibri" w:hAnsi="Calibri" w:cs="Calibri"/>
                <w:color w:val="000000"/>
              </w:rPr>
              <w:t>Moriah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McCracken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 of English Writing &amp; Rhetoric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Edwards University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Villarreal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&amp; English Iv AP/IB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Bowley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25" w:rsidRDefault="00221A25" w:rsidP="00F9444B">
      <w:pPr>
        <w:spacing w:after="0" w:line="240" w:lineRule="auto"/>
      </w:pPr>
      <w:r>
        <w:separator/>
      </w:r>
    </w:p>
  </w:endnote>
  <w:endnote w:type="continuationSeparator" w:id="0">
    <w:p w:rsidR="00221A25" w:rsidRDefault="00221A25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7764C0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25" w:rsidRDefault="00221A25" w:rsidP="00F9444B">
      <w:pPr>
        <w:spacing w:after="0" w:line="240" w:lineRule="auto"/>
      </w:pPr>
      <w:r>
        <w:separator/>
      </w:r>
    </w:p>
  </w:footnote>
  <w:footnote w:type="continuationSeparator" w:id="0">
    <w:p w:rsidR="00221A25" w:rsidRDefault="00221A25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26C26"/>
    <w:rsid w:val="00034655"/>
    <w:rsid w:val="00046185"/>
    <w:rsid w:val="000B251E"/>
    <w:rsid w:val="001155F1"/>
    <w:rsid w:val="00140D2F"/>
    <w:rsid w:val="00143967"/>
    <w:rsid w:val="00150121"/>
    <w:rsid w:val="001615C7"/>
    <w:rsid w:val="001645AF"/>
    <w:rsid w:val="001E3FC7"/>
    <w:rsid w:val="00221A25"/>
    <w:rsid w:val="0023021D"/>
    <w:rsid w:val="00232391"/>
    <w:rsid w:val="00252DA2"/>
    <w:rsid w:val="002A7EAE"/>
    <w:rsid w:val="002B10A3"/>
    <w:rsid w:val="002D442A"/>
    <w:rsid w:val="002E0E93"/>
    <w:rsid w:val="002E1FF1"/>
    <w:rsid w:val="002E2885"/>
    <w:rsid w:val="0037348B"/>
    <w:rsid w:val="003D1AEE"/>
    <w:rsid w:val="003F631B"/>
    <w:rsid w:val="00435E5F"/>
    <w:rsid w:val="00441BCA"/>
    <w:rsid w:val="0047136F"/>
    <w:rsid w:val="00484D52"/>
    <w:rsid w:val="0048624A"/>
    <w:rsid w:val="004B5079"/>
    <w:rsid w:val="004C2FAF"/>
    <w:rsid w:val="00551D49"/>
    <w:rsid w:val="0057420C"/>
    <w:rsid w:val="00595A0E"/>
    <w:rsid w:val="005B6A93"/>
    <w:rsid w:val="00607EEE"/>
    <w:rsid w:val="006543BE"/>
    <w:rsid w:val="006746F2"/>
    <w:rsid w:val="006D00F6"/>
    <w:rsid w:val="006D7A8C"/>
    <w:rsid w:val="00723492"/>
    <w:rsid w:val="00757CCB"/>
    <w:rsid w:val="007637BC"/>
    <w:rsid w:val="007764C0"/>
    <w:rsid w:val="00864BF3"/>
    <w:rsid w:val="008C1BEE"/>
    <w:rsid w:val="008D3E82"/>
    <w:rsid w:val="009119AD"/>
    <w:rsid w:val="00A67D68"/>
    <w:rsid w:val="00AD6756"/>
    <w:rsid w:val="00B501AE"/>
    <w:rsid w:val="00B676B2"/>
    <w:rsid w:val="00BC153A"/>
    <w:rsid w:val="00BC7965"/>
    <w:rsid w:val="00BE28E2"/>
    <w:rsid w:val="00C3665B"/>
    <w:rsid w:val="00C916F1"/>
    <w:rsid w:val="00CA17CA"/>
    <w:rsid w:val="00CC3759"/>
    <w:rsid w:val="00CD24CE"/>
    <w:rsid w:val="00CD423E"/>
    <w:rsid w:val="00D14026"/>
    <w:rsid w:val="00D30028"/>
    <w:rsid w:val="00D617E8"/>
    <w:rsid w:val="00D6217E"/>
    <w:rsid w:val="00DB6342"/>
    <w:rsid w:val="00DC11E8"/>
    <w:rsid w:val="00E47DFA"/>
    <w:rsid w:val="00E92425"/>
    <w:rsid w:val="00E961BD"/>
    <w:rsid w:val="00EC4FB6"/>
    <w:rsid w:val="00EF75FE"/>
    <w:rsid w:val="00F25F28"/>
    <w:rsid w:val="00F26929"/>
    <w:rsid w:val="00F32795"/>
    <w:rsid w:val="00F9444B"/>
    <w:rsid w:val="00F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2013-01-08T16:50:00Z</dcterms:created>
  <dcterms:modified xsi:type="dcterms:W3CDTF">2013-01-08T16:50:00Z</dcterms:modified>
</cp:coreProperties>
</file>