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BF54D8">
        <w:rPr>
          <w:rFonts w:cstheme="minorHAnsi"/>
          <w:b/>
          <w:sz w:val="24"/>
          <w:szCs w:val="24"/>
        </w:rPr>
        <w:t>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77F2A" w:rsidP="00E757E7">
            <w:pPr>
              <w:rPr>
                <w:rFonts w:cstheme="minorHAnsi"/>
              </w:rPr>
            </w:pPr>
            <w:r>
              <w:rPr>
                <w:rFonts w:cstheme="minorHAnsi"/>
              </w:rPr>
              <w:t xml:space="preserve">Math </w:t>
            </w:r>
            <w:r w:rsidR="003725DD">
              <w:rPr>
                <w:rFonts w:cstheme="minorHAnsi"/>
              </w:rPr>
              <w:t xml:space="preserve">Vertical Alignment </w:t>
            </w:r>
            <w:r w:rsidR="00BF54D8">
              <w:rPr>
                <w:rFonts w:cstheme="minorHAnsi"/>
              </w:rPr>
              <w:t>Team</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3725DD" w:rsidP="00B77F2A">
            <w:pPr>
              <w:rPr>
                <w:rFonts w:cstheme="minorHAnsi"/>
              </w:rPr>
            </w:pPr>
            <w:r>
              <w:rPr>
                <w:rFonts w:cstheme="minorHAnsi"/>
              </w:rPr>
              <w:t xml:space="preserve">Review fall </w:t>
            </w:r>
            <w:r w:rsidR="00B77F2A">
              <w:rPr>
                <w:rFonts w:cstheme="minorHAnsi"/>
              </w:rPr>
              <w:t>math</w:t>
            </w:r>
            <w:r>
              <w:rPr>
                <w:rFonts w:cstheme="minorHAnsi"/>
              </w:rPr>
              <w:t xml:space="preserve"> college prep course information.</w:t>
            </w:r>
            <w:r w:rsidR="00AC5A08">
              <w:rPr>
                <w:rFonts w:cstheme="minorHAnsi"/>
              </w:rPr>
              <w:t xml:space="preserve"> </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1D0E32" w:rsidP="00EF75FE">
            <w:pPr>
              <w:rPr>
                <w:rFonts w:cstheme="minorHAnsi"/>
              </w:rPr>
            </w:pPr>
            <w:r>
              <w:rPr>
                <w:rFonts w:cstheme="minorHAnsi"/>
              </w:rPr>
              <w:t xml:space="preserve">Fri., </w:t>
            </w:r>
            <w:bookmarkStart w:id="0" w:name="_GoBack"/>
            <w:bookmarkEnd w:id="0"/>
            <w:r w:rsidR="00B77F2A">
              <w:rPr>
                <w:rFonts w:cstheme="minorHAnsi"/>
              </w:rPr>
              <w:t>Feb. 6</w:t>
            </w:r>
            <w:r w:rsidR="003725DD">
              <w:rPr>
                <w:rFonts w:cstheme="minorHAnsi"/>
              </w:rPr>
              <w:t>, 2015</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B77F2A" w:rsidP="00EF75FE">
            <w:pPr>
              <w:rPr>
                <w:rFonts w:cstheme="minorHAnsi"/>
              </w:rPr>
            </w:pPr>
            <w:r>
              <w:rPr>
                <w:rFonts w:cstheme="minorHAnsi"/>
              </w:rPr>
              <w:t>1:00</w:t>
            </w:r>
            <w:r w:rsidR="00E757E7">
              <w:rPr>
                <w:rFonts w:cstheme="minorHAnsi"/>
              </w:rPr>
              <w:t xml:space="preserve"> pm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B77F2A" w:rsidP="00EF75FE">
            <w:pPr>
              <w:rPr>
                <w:rFonts w:cstheme="minorHAnsi"/>
              </w:rPr>
            </w:pPr>
            <w:r>
              <w:rPr>
                <w:rFonts w:cstheme="minorHAnsi"/>
              </w:rPr>
              <w:t>2:00 pm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F54D8" w:rsidP="00EF75FE">
            <w:pPr>
              <w:rPr>
                <w:rFonts w:cstheme="minorHAnsi"/>
              </w:rPr>
            </w:pPr>
            <w:r>
              <w:rPr>
                <w:rFonts w:cstheme="minorHAnsi"/>
              </w:rPr>
              <w:t>Robin Adkins</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941C4" w:rsidP="00B77F2A">
            <w:pPr>
              <w:rPr>
                <w:rFonts w:cstheme="minorHAnsi"/>
              </w:rPr>
            </w:pPr>
            <w:r>
              <w:rPr>
                <w:rFonts w:cstheme="minorHAnsi"/>
              </w:rPr>
              <w:t>Region 16 ESC</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941C4" w:rsidP="00EF75FE">
            <w:pPr>
              <w:rPr>
                <w:rFonts w:cstheme="minorHAnsi"/>
              </w:rPr>
            </w:pPr>
            <w:r>
              <w:rPr>
                <w:rFonts w:cstheme="minorHAnsi"/>
              </w:rPr>
              <w:t>RA</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941C4" w:rsidP="00EF75FE">
            <w:pPr>
              <w:rPr>
                <w:rFonts w:cstheme="minorHAnsi"/>
              </w:rPr>
            </w:pPr>
            <w:r>
              <w:rPr>
                <w:rFonts w:cstheme="minorHAnsi"/>
              </w:rPr>
              <w:t>RA</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A31951" w:rsidRPr="001915D1" w:rsidTr="00EC4FB6">
        <w:trPr>
          <w:trHeight w:val="1070"/>
        </w:trPr>
        <w:tc>
          <w:tcPr>
            <w:tcW w:w="1368" w:type="dxa"/>
            <w:vAlign w:val="center"/>
          </w:tcPr>
          <w:p w:rsidR="00A31951" w:rsidRPr="001915D1" w:rsidRDefault="00B77F2A" w:rsidP="00EC4FB6">
            <w:pPr>
              <w:rPr>
                <w:rFonts w:cstheme="minorHAnsi"/>
                <w:sz w:val="20"/>
                <w:szCs w:val="20"/>
              </w:rPr>
            </w:pPr>
            <w:r>
              <w:rPr>
                <w:rFonts w:cstheme="minorHAnsi"/>
                <w:sz w:val="20"/>
                <w:szCs w:val="20"/>
              </w:rPr>
              <w:t>1:00</w:t>
            </w:r>
            <w:r w:rsidR="00E757E7" w:rsidRPr="001915D1">
              <w:rPr>
                <w:rFonts w:cstheme="minorHAnsi"/>
                <w:sz w:val="20"/>
                <w:szCs w:val="20"/>
              </w:rPr>
              <w:t xml:space="preserve"> pm</w:t>
            </w:r>
          </w:p>
        </w:tc>
        <w:tc>
          <w:tcPr>
            <w:tcW w:w="3870" w:type="dxa"/>
            <w:vAlign w:val="center"/>
          </w:tcPr>
          <w:p w:rsidR="00A31951" w:rsidRPr="001915D1" w:rsidRDefault="00A31951" w:rsidP="00B77F2A">
            <w:pPr>
              <w:rPr>
                <w:rFonts w:cstheme="minorHAnsi"/>
                <w:sz w:val="20"/>
                <w:szCs w:val="20"/>
              </w:rPr>
            </w:pPr>
            <w:r w:rsidRPr="001915D1">
              <w:rPr>
                <w:rFonts w:cstheme="minorHAnsi"/>
                <w:sz w:val="20"/>
                <w:szCs w:val="20"/>
              </w:rPr>
              <w:t xml:space="preserve">1.  </w:t>
            </w:r>
            <w:r w:rsidR="00B77F2A">
              <w:rPr>
                <w:rFonts w:cstheme="minorHAnsi"/>
                <w:sz w:val="20"/>
                <w:szCs w:val="20"/>
              </w:rPr>
              <w:t>Introductions</w:t>
            </w:r>
            <w:r w:rsidR="00BC567D">
              <w:rPr>
                <w:rFonts w:cstheme="minorHAnsi"/>
                <w:sz w:val="20"/>
                <w:szCs w:val="20"/>
              </w:rPr>
              <w:t>.</w:t>
            </w:r>
          </w:p>
        </w:tc>
        <w:tc>
          <w:tcPr>
            <w:tcW w:w="1620" w:type="dxa"/>
            <w:vAlign w:val="center"/>
          </w:tcPr>
          <w:p w:rsidR="00A31951" w:rsidRPr="001915D1" w:rsidRDefault="00227BD4" w:rsidP="007F2168">
            <w:pPr>
              <w:rPr>
                <w:rFonts w:cstheme="minorHAnsi"/>
                <w:sz w:val="20"/>
                <w:szCs w:val="20"/>
              </w:rPr>
            </w:pPr>
            <w:r w:rsidRPr="001915D1">
              <w:rPr>
                <w:rFonts w:cstheme="minorHAnsi"/>
                <w:sz w:val="20"/>
                <w:szCs w:val="20"/>
              </w:rPr>
              <w:t>P</w:t>
            </w:r>
          </w:p>
        </w:tc>
        <w:tc>
          <w:tcPr>
            <w:tcW w:w="2610" w:type="dxa"/>
            <w:vAlign w:val="center"/>
          </w:tcPr>
          <w:p w:rsidR="00A31951" w:rsidRPr="001915D1" w:rsidRDefault="00A31951" w:rsidP="007F2168">
            <w:pPr>
              <w:rPr>
                <w:rFonts w:cstheme="minorHAnsi"/>
                <w:sz w:val="20"/>
                <w:szCs w:val="20"/>
              </w:rPr>
            </w:pPr>
            <w:r w:rsidRPr="001915D1">
              <w:rPr>
                <w:rFonts w:cstheme="minorHAnsi"/>
                <w:sz w:val="20"/>
                <w:szCs w:val="20"/>
              </w:rPr>
              <w:t>RA</w:t>
            </w:r>
          </w:p>
        </w:tc>
        <w:tc>
          <w:tcPr>
            <w:tcW w:w="4428" w:type="dxa"/>
            <w:vAlign w:val="center"/>
          </w:tcPr>
          <w:p w:rsidR="00A31951" w:rsidRPr="001915D1" w:rsidRDefault="00A31951" w:rsidP="00E757E7">
            <w:pPr>
              <w:rPr>
                <w:rFonts w:cstheme="minorHAnsi"/>
                <w:sz w:val="20"/>
                <w:szCs w:val="20"/>
              </w:rPr>
            </w:pPr>
          </w:p>
        </w:tc>
      </w:tr>
      <w:tr w:rsidR="00B77F2A" w:rsidRPr="001915D1" w:rsidTr="00EC4FB6">
        <w:trPr>
          <w:trHeight w:val="1070"/>
        </w:trPr>
        <w:tc>
          <w:tcPr>
            <w:tcW w:w="1368" w:type="dxa"/>
            <w:vAlign w:val="center"/>
          </w:tcPr>
          <w:p w:rsidR="00B77F2A" w:rsidRDefault="00B77F2A" w:rsidP="00B77F2A">
            <w:pPr>
              <w:rPr>
                <w:rFonts w:cstheme="minorHAnsi"/>
                <w:sz w:val="20"/>
                <w:szCs w:val="20"/>
              </w:rPr>
            </w:pPr>
            <w:r>
              <w:rPr>
                <w:rFonts w:cstheme="minorHAnsi"/>
                <w:sz w:val="20"/>
                <w:szCs w:val="20"/>
              </w:rPr>
              <w:t>1:05 pm</w:t>
            </w:r>
          </w:p>
        </w:tc>
        <w:tc>
          <w:tcPr>
            <w:tcW w:w="3870" w:type="dxa"/>
            <w:vAlign w:val="center"/>
          </w:tcPr>
          <w:p w:rsidR="00B77F2A" w:rsidRPr="001915D1" w:rsidRDefault="00B77F2A" w:rsidP="00B77F2A">
            <w:pPr>
              <w:rPr>
                <w:rFonts w:cstheme="minorHAnsi"/>
                <w:sz w:val="20"/>
                <w:szCs w:val="20"/>
              </w:rPr>
            </w:pPr>
            <w:r>
              <w:rPr>
                <w:rFonts w:cstheme="minorHAnsi"/>
                <w:sz w:val="20"/>
                <w:szCs w:val="20"/>
              </w:rPr>
              <w:t>2.  Review grant due dates &amp; deliverables.  Review R16 survey.</w:t>
            </w:r>
          </w:p>
        </w:tc>
        <w:tc>
          <w:tcPr>
            <w:tcW w:w="1620" w:type="dxa"/>
            <w:vAlign w:val="center"/>
          </w:tcPr>
          <w:p w:rsidR="00B77F2A" w:rsidRPr="001915D1" w:rsidRDefault="00E1437A" w:rsidP="007F2168">
            <w:pPr>
              <w:rPr>
                <w:rFonts w:cstheme="minorHAnsi"/>
                <w:sz w:val="20"/>
                <w:szCs w:val="20"/>
              </w:rPr>
            </w:pPr>
            <w:r>
              <w:rPr>
                <w:rFonts w:cstheme="minorHAnsi"/>
                <w:sz w:val="20"/>
                <w:szCs w:val="20"/>
              </w:rPr>
              <w:t>P/F</w:t>
            </w:r>
          </w:p>
        </w:tc>
        <w:tc>
          <w:tcPr>
            <w:tcW w:w="2610" w:type="dxa"/>
            <w:vAlign w:val="center"/>
          </w:tcPr>
          <w:p w:rsidR="00B77F2A" w:rsidRPr="001915D1" w:rsidRDefault="00E1437A" w:rsidP="007F2168">
            <w:pPr>
              <w:rPr>
                <w:rFonts w:cstheme="minorHAnsi"/>
                <w:sz w:val="20"/>
                <w:szCs w:val="20"/>
              </w:rPr>
            </w:pPr>
            <w:r>
              <w:rPr>
                <w:rFonts w:cstheme="minorHAnsi"/>
                <w:sz w:val="20"/>
                <w:szCs w:val="20"/>
              </w:rPr>
              <w:t>RA</w:t>
            </w:r>
          </w:p>
        </w:tc>
        <w:tc>
          <w:tcPr>
            <w:tcW w:w="4428" w:type="dxa"/>
            <w:vAlign w:val="center"/>
          </w:tcPr>
          <w:p w:rsidR="00B77F2A" w:rsidRPr="001915D1" w:rsidRDefault="00E1437A" w:rsidP="007F2168">
            <w:pPr>
              <w:rPr>
                <w:rFonts w:cstheme="minorHAnsi"/>
                <w:sz w:val="20"/>
                <w:szCs w:val="20"/>
              </w:rPr>
            </w:pPr>
            <w:r>
              <w:rPr>
                <w:rFonts w:cstheme="minorHAnsi"/>
                <w:sz w:val="20"/>
                <w:szCs w:val="20"/>
              </w:rPr>
              <w:t>Understand grant requirements &amp; purposes of VAT.  Gain perspective on CPC offerings in the region.</w:t>
            </w:r>
          </w:p>
        </w:tc>
      </w:tr>
      <w:tr w:rsidR="00A31951" w:rsidRPr="001915D1" w:rsidTr="00EC4FB6">
        <w:trPr>
          <w:trHeight w:val="1070"/>
        </w:trPr>
        <w:tc>
          <w:tcPr>
            <w:tcW w:w="1368" w:type="dxa"/>
            <w:vAlign w:val="center"/>
          </w:tcPr>
          <w:p w:rsidR="00A31951" w:rsidRPr="001915D1" w:rsidRDefault="00B77F2A" w:rsidP="00B77F2A">
            <w:pPr>
              <w:rPr>
                <w:rFonts w:cstheme="minorHAnsi"/>
                <w:sz w:val="20"/>
                <w:szCs w:val="20"/>
              </w:rPr>
            </w:pPr>
            <w:r>
              <w:rPr>
                <w:rFonts w:cstheme="minorHAnsi"/>
                <w:sz w:val="20"/>
                <w:szCs w:val="20"/>
              </w:rPr>
              <w:t>1:20</w:t>
            </w:r>
            <w:r w:rsidR="00E757E7" w:rsidRPr="001915D1">
              <w:rPr>
                <w:rFonts w:cstheme="minorHAnsi"/>
                <w:sz w:val="20"/>
                <w:szCs w:val="20"/>
              </w:rPr>
              <w:t xml:space="preserve"> pm</w:t>
            </w:r>
          </w:p>
        </w:tc>
        <w:tc>
          <w:tcPr>
            <w:tcW w:w="3870" w:type="dxa"/>
            <w:vAlign w:val="center"/>
          </w:tcPr>
          <w:p w:rsidR="00A31951" w:rsidRPr="001915D1" w:rsidRDefault="00B77F2A" w:rsidP="00227BD4">
            <w:pPr>
              <w:rPr>
                <w:rFonts w:cstheme="minorHAnsi"/>
                <w:sz w:val="20"/>
                <w:szCs w:val="20"/>
              </w:rPr>
            </w:pPr>
            <w:r>
              <w:rPr>
                <w:rFonts w:cstheme="minorHAnsi"/>
                <w:sz w:val="20"/>
                <w:szCs w:val="20"/>
              </w:rPr>
              <w:t>3</w:t>
            </w:r>
            <w:r w:rsidR="00E757E7" w:rsidRPr="001915D1">
              <w:rPr>
                <w:rFonts w:cstheme="minorHAnsi"/>
                <w:sz w:val="20"/>
                <w:szCs w:val="20"/>
              </w:rPr>
              <w:t xml:space="preserve">.  </w:t>
            </w:r>
            <w:r w:rsidR="00227BD4" w:rsidRPr="001915D1">
              <w:rPr>
                <w:rFonts w:cstheme="minorHAnsi"/>
                <w:sz w:val="20"/>
                <w:szCs w:val="20"/>
              </w:rPr>
              <w:t xml:space="preserve">Review fall </w:t>
            </w:r>
            <w:r>
              <w:rPr>
                <w:rFonts w:cstheme="minorHAnsi"/>
                <w:sz w:val="20"/>
                <w:szCs w:val="20"/>
              </w:rPr>
              <w:t>math</w:t>
            </w:r>
            <w:r w:rsidR="00227BD4" w:rsidRPr="001915D1">
              <w:rPr>
                <w:rFonts w:cstheme="minorHAnsi"/>
                <w:sz w:val="20"/>
                <w:szCs w:val="20"/>
              </w:rPr>
              <w:t xml:space="preserve"> CPC offerings:</w:t>
            </w:r>
          </w:p>
          <w:p w:rsidR="00227BD4" w:rsidRPr="001915D1" w:rsidRDefault="00227BD4" w:rsidP="00227BD4">
            <w:pPr>
              <w:rPr>
                <w:rFonts w:cstheme="minorHAnsi"/>
                <w:sz w:val="20"/>
                <w:szCs w:val="20"/>
              </w:rPr>
            </w:pPr>
            <w:r w:rsidRPr="001915D1">
              <w:rPr>
                <w:rFonts w:cstheme="minorHAnsi"/>
                <w:sz w:val="20"/>
                <w:szCs w:val="20"/>
              </w:rPr>
              <w:t>a.  Student data</w:t>
            </w:r>
          </w:p>
          <w:p w:rsidR="00227BD4" w:rsidRPr="001915D1" w:rsidRDefault="00227BD4" w:rsidP="00227BD4">
            <w:pPr>
              <w:rPr>
                <w:rFonts w:cstheme="minorHAnsi"/>
                <w:sz w:val="20"/>
                <w:szCs w:val="20"/>
              </w:rPr>
            </w:pPr>
            <w:r w:rsidRPr="001915D1">
              <w:rPr>
                <w:rFonts w:cstheme="minorHAnsi"/>
                <w:sz w:val="20"/>
                <w:szCs w:val="20"/>
              </w:rPr>
              <w:t>b.  Implications for spring, including possible professional development</w:t>
            </w:r>
          </w:p>
          <w:p w:rsidR="00227BD4" w:rsidRPr="001915D1" w:rsidRDefault="00227BD4" w:rsidP="00227BD4">
            <w:pPr>
              <w:rPr>
                <w:rFonts w:cstheme="minorHAnsi"/>
                <w:sz w:val="20"/>
                <w:szCs w:val="20"/>
              </w:rPr>
            </w:pPr>
            <w:r w:rsidRPr="001915D1">
              <w:rPr>
                <w:rFonts w:cstheme="minorHAnsi"/>
                <w:sz w:val="20"/>
                <w:szCs w:val="20"/>
              </w:rPr>
              <w:t>c.  Unit tests</w:t>
            </w:r>
            <w:r w:rsidR="00B77F2A">
              <w:rPr>
                <w:rFonts w:cstheme="minorHAnsi"/>
                <w:sz w:val="20"/>
                <w:szCs w:val="20"/>
              </w:rPr>
              <w:t xml:space="preserve"> </w:t>
            </w:r>
          </w:p>
        </w:tc>
        <w:tc>
          <w:tcPr>
            <w:tcW w:w="1620" w:type="dxa"/>
            <w:vAlign w:val="center"/>
          </w:tcPr>
          <w:p w:rsidR="00A31951" w:rsidRPr="001915D1" w:rsidRDefault="00A31951" w:rsidP="007F2168">
            <w:pPr>
              <w:rPr>
                <w:rFonts w:cstheme="minorHAnsi"/>
                <w:sz w:val="20"/>
                <w:szCs w:val="20"/>
              </w:rPr>
            </w:pPr>
            <w:r w:rsidRPr="001915D1">
              <w:rPr>
                <w:rFonts w:cstheme="minorHAnsi"/>
                <w:sz w:val="20"/>
                <w:szCs w:val="20"/>
              </w:rPr>
              <w:t>F/D</w:t>
            </w:r>
            <w:r w:rsidR="009A26D2" w:rsidRPr="001915D1">
              <w:rPr>
                <w:rFonts w:cstheme="minorHAnsi"/>
                <w:sz w:val="20"/>
                <w:szCs w:val="20"/>
              </w:rPr>
              <w:t>/W</w:t>
            </w:r>
          </w:p>
        </w:tc>
        <w:tc>
          <w:tcPr>
            <w:tcW w:w="2610" w:type="dxa"/>
            <w:vAlign w:val="center"/>
          </w:tcPr>
          <w:p w:rsidR="00A31951" w:rsidRPr="001915D1" w:rsidRDefault="00A31951" w:rsidP="007F2168">
            <w:pPr>
              <w:rPr>
                <w:rFonts w:cstheme="minorHAnsi"/>
                <w:sz w:val="20"/>
                <w:szCs w:val="20"/>
              </w:rPr>
            </w:pPr>
            <w:r w:rsidRPr="001915D1">
              <w:rPr>
                <w:rFonts w:cstheme="minorHAnsi"/>
                <w:sz w:val="20"/>
                <w:szCs w:val="20"/>
              </w:rPr>
              <w:t>RA</w:t>
            </w:r>
          </w:p>
        </w:tc>
        <w:tc>
          <w:tcPr>
            <w:tcW w:w="4428" w:type="dxa"/>
            <w:vAlign w:val="center"/>
          </w:tcPr>
          <w:p w:rsidR="00A31951" w:rsidRPr="001915D1" w:rsidRDefault="009A26D2" w:rsidP="007F2168">
            <w:pPr>
              <w:rPr>
                <w:rFonts w:cstheme="minorHAnsi"/>
                <w:sz w:val="20"/>
                <w:szCs w:val="20"/>
              </w:rPr>
            </w:pPr>
            <w:r w:rsidRPr="001915D1">
              <w:rPr>
                <w:rFonts w:cstheme="minorHAnsi"/>
                <w:sz w:val="20"/>
                <w:szCs w:val="20"/>
              </w:rPr>
              <w:t>Consider progress and implications for implementation.</w:t>
            </w:r>
          </w:p>
        </w:tc>
      </w:tr>
      <w:tr w:rsidR="00A31951" w:rsidRPr="001915D1" w:rsidTr="00EC4FB6">
        <w:trPr>
          <w:trHeight w:val="980"/>
        </w:trPr>
        <w:tc>
          <w:tcPr>
            <w:tcW w:w="1368" w:type="dxa"/>
            <w:vAlign w:val="center"/>
          </w:tcPr>
          <w:p w:rsidR="00A31951" w:rsidRPr="001915D1" w:rsidRDefault="00B77F2A" w:rsidP="00EC4FB6">
            <w:pPr>
              <w:rPr>
                <w:rFonts w:cstheme="minorHAnsi"/>
                <w:sz w:val="20"/>
                <w:szCs w:val="20"/>
              </w:rPr>
            </w:pPr>
            <w:r>
              <w:rPr>
                <w:rFonts w:cstheme="minorHAnsi"/>
                <w:sz w:val="20"/>
                <w:szCs w:val="20"/>
              </w:rPr>
              <w:lastRenderedPageBreak/>
              <w:t>2:00</w:t>
            </w:r>
            <w:r w:rsidR="00A31951" w:rsidRPr="001915D1">
              <w:rPr>
                <w:rFonts w:cstheme="minorHAnsi"/>
                <w:sz w:val="20"/>
                <w:szCs w:val="20"/>
              </w:rPr>
              <w:t xml:space="preserve"> pm</w:t>
            </w:r>
          </w:p>
        </w:tc>
        <w:tc>
          <w:tcPr>
            <w:tcW w:w="3870" w:type="dxa"/>
            <w:vAlign w:val="center"/>
          </w:tcPr>
          <w:p w:rsidR="00A31951" w:rsidRPr="001915D1" w:rsidRDefault="00932EAF" w:rsidP="00932EAF">
            <w:pPr>
              <w:rPr>
                <w:rFonts w:cstheme="minorHAnsi"/>
                <w:sz w:val="20"/>
                <w:szCs w:val="20"/>
              </w:rPr>
            </w:pPr>
            <w:r>
              <w:rPr>
                <w:rFonts w:cstheme="minorHAnsi"/>
                <w:sz w:val="20"/>
                <w:szCs w:val="20"/>
              </w:rPr>
              <w:t>4.</w:t>
            </w:r>
            <w:r w:rsidR="00A31951" w:rsidRPr="001915D1">
              <w:rPr>
                <w:rFonts w:cstheme="minorHAnsi"/>
                <w:sz w:val="20"/>
                <w:szCs w:val="20"/>
              </w:rPr>
              <w:t xml:space="preserve">  Adjourn.</w:t>
            </w:r>
          </w:p>
        </w:tc>
        <w:tc>
          <w:tcPr>
            <w:tcW w:w="1620" w:type="dxa"/>
            <w:vAlign w:val="center"/>
          </w:tcPr>
          <w:p w:rsidR="00A31951" w:rsidRPr="001915D1" w:rsidRDefault="00A31951" w:rsidP="00EC4FB6">
            <w:pPr>
              <w:rPr>
                <w:rFonts w:cstheme="minorHAnsi"/>
                <w:sz w:val="20"/>
                <w:szCs w:val="20"/>
              </w:rPr>
            </w:pPr>
          </w:p>
        </w:tc>
        <w:tc>
          <w:tcPr>
            <w:tcW w:w="2610" w:type="dxa"/>
            <w:vAlign w:val="center"/>
          </w:tcPr>
          <w:p w:rsidR="00A31951" w:rsidRPr="001915D1" w:rsidRDefault="00A31951" w:rsidP="00EC4FB6">
            <w:pPr>
              <w:rPr>
                <w:rFonts w:cstheme="minorHAnsi"/>
                <w:sz w:val="20"/>
                <w:szCs w:val="20"/>
              </w:rPr>
            </w:pPr>
            <w:r w:rsidRPr="001915D1">
              <w:rPr>
                <w:rFonts w:cstheme="minorHAnsi"/>
                <w:sz w:val="20"/>
                <w:szCs w:val="20"/>
              </w:rPr>
              <w:t>RA</w:t>
            </w:r>
          </w:p>
        </w:tc>
        <w:tc>
          <w:tcPr>
            <w:tcW w:w="4428" w:type="dxa"/>
            <w:vAlign w:val="center"/>
          </w:tcPr>
          <w:p w:rsidR="00A31951" w:rsidRPr="001915D1" w:rsidRDefault="00A31951" w:rsidP="00EC4FB6">
            <w:pPr>
              <w:rPr>
                <w:rFonts w:cstheme="minorHAnsi"/>
                <w:sz w:val="20"/>
                <w:szCs w:val="20"/>
              </w:rPr>
            </w:pPr>
          </w:p>
        </w:tc>
      </w:tr>
    </w:tbl>
    <w:p w:rsidR="00EC4FB6" w:rsidRPr="001915D1" w:rsidRDefault="00007C40" w:rsidP="00EC4FB6">
      <w:pPr>
        <w:spacing w:after="0" w:line="240" w:lineRule="auto"/>
        <w:rPr>
          <w:rFonts w:cstheme="minorHAnsi"/>
          <w:sz w:val="20"/>
          <w:szCs w:val="20"/>
        </w:rPr>
      </w:pPr>
      <w:r w:rsidRPr="001915D1">
        <w:rPr>
          <w:rFonts w:cstheme="minorHAnsi"/>
          <w:b/>
          <w:sz w:val="20"/>
          <w:szCs w:val="20"/>
          <w:u w:val="single"/>
        </w:rPr>
        <w:t>Agenda Format Key:</w:t>
      </w:r>
      <w:r w:rsidRPr="001915D1">
        <w:rPr>
          <w:rFonts w:cstheme="minorHAnsi"/>
          <w:b/>
          <w:sz w:val="20"/>
          <w:szCs w:val="20"/>
        </w:rPr>
        <w:t xml:space="preserve">  </w:t>
      </w:r>
      <w:r w:rsidRPr="001915D1">
        <w:rPr>
          <w:rFonts w:cstheme="minorHAnsi"/>
          <w:sz w:val="20"/>
          <w:szCs w:val="20"/>
        </w:rPr>
        <w:t xml:space="preserve">P = Presentation, F = Feedback, D = Decision-Making, W = Work Group, O = </w:t>
      </w:r>
      <w:proofErr w:type="gramStart"/>
      <w:r w:rsidRPr="001915D1">
        <w:rPr>
          <w:rFonts w:cstheme="minorHAnsi"/>
          <w:sz w:val="20"/>
          <w:szCs w:val="20"/>
        </w:rPr>
        <w:t>Other</w:t>
      </w:r>
      <w:proofErr w:type="gramEnd"/>
      <w:r w:rsidRPr="001915D1">
        <w:rPr>
          <w:rFonts w:cstheme="minorHAnsi"/>
          <w:sz w:val="20"/>
          <w:szCs w:val="20"/>
        </w:rPr>
        <w:t>, with explanation</w:t>
      </w:r>
    </w:p>
    <w:p w:rsidR="00EC4FB6" w:rsidRPr="001915D1" w:rsidRDefault="00EC4FB6" w:rsidP="00EC4FB6">
      <w:pPr>
        <w:spacing w:after="0" w:line="240" w:lineRule="auto"/>
        <w:jc w:val="center"/>
        <w:rPr>
          <w:rFonts w:cstheme="minorHAnsi"/>
          <w:sz w:val="20"/>
          <w:szCs w:val="20"/>
        </w:rPr>
      </w:pPr>
      <w:r w:rsidRPr="001915D1">
        <w:rPr>
          <w:rFonts w:cstheme="minorHAnsi"/>
          <w:b/>
          <w:sz w:val="20"/>
          <w:szCs w:val="20"/>
          <w:u w:val="single"/>
        </w:rPr>
        <w:t>AVATAR Meeting Minutes</w:t>
      </w:r>
      <w:r w:rsidR="00412AB9" w:rsidRPr="001915D1">
        <w:rPr>
          <w:rFonts w:cstheme="minorHAnsi"/>
          <w:b/>
          <w:sz w:val="20"/>
          <w:szCs w:val="20"/>
          <w:u w:val="single"/>
        </w:rPr>
        <w:t xml:space="preserve"> (See “Notes” page for more info)</w:t>
      </w:r>
    </w:p>
    <w:p w:rsidR="00EC4FB6" w:rsidRPr="001915D1" w:rsidRDefault="00EC4FB6" w:rsidP="00EC4FB6">
      <w:pPr>
        <w:spacing w:after="0" w:line="240" w:lineRule="auto"/>
        <w:jc w:val="center"/>
        <w:rPr>
          <w:rFonts w:cstheme="minorHAnsi"/>
          <w:sz w:val="20"/>
          <w:szCs w:val="20"/>
        </w:rPr>
      </w:pPr>
    </w:p>
    <w:tbl>
      <w:tblPr>
        <w:tblStyle w:val="TableGrid"/>
        <w:tblW w:w="14616" w:type="dxa"/>
        <w:tblLook w:val="04A0" w:firstRow="1" w:lastRow="0" w:firstColumn="1" w:lastColumn="0" w:noHBand="0" w:noVBand="1"/>
      </w:tblPr>
      <w:tblGrid>
        <w:gridCol w:w="720"/>
        <w:gridCol w:w="6318"/>
        <w:gridCol w:w="3780"/>
        <w:gridCol w:w="3078"/>
        <w:gridCol w:w="720"/>
      </w:tblGrid>
      <w:tr w:rsidR="00EC4FB6" w:rsidRPr="001915D1" w:rsidTr="007102CB">
        <w:trPr>
          <w:gridAfter w:val="1"/>
          <w:wAfter w:w="720" w:type="dxa"/>
          <w:trHeight w:val="530"/>
        </w:trPr>
        <w:tc>
          <w:tcPr>
            <w:tcW w:w="7038" w:type="dxa"/>
            <w:gridSpan w:val="2"/>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Action Item</w:t>
            </w:r>
            <w:r w:rsidR="00412AB9" w:rsidRPr="001915D1">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Person Responsible</w:t>
            </w:r>
          </w:p>
        </w:tc>
        <w:tc>
          <w:tcPr>
            <w:tcW w:w="3078" w:type="dxa"/>
            <w:shd w:val="clear" w:color="auto" w:fill="D9D9D9" w:themeFill="background1" w:themeFillShade="D9"/>
            <w:vAlign w:val="center"/>
          </w:tcPr>
          <w:p w:rsidR="00EC4FB6" w:rsidRPr="001915D1" w:rsidRDefault="00EC4FB6" w:rsidP="00EC4FB6">
            <w:pPr>
              <w:jc w:val="center"/>
              <w:rPr>
                <w:rFonts w:cstheme="minorHAnsi"/>
                <w:b/>
                <w:sz w:val="20"/>
                <w:szCs w:val="20"/>
              </w:rPr>
            </w:pPr>
            <w:r w:rsidRPr="001915D1">
              <w:rPr>
                <w:rFonts w:cstheme="minorHAnsi"/>
                <w:b/>
                <w:sz w:val="20"/>
                <w:szCs w:val="20"/>
              </w:rPr>
              <w:t>Due Date</w:t>
            </w:r>
          </w:p>
        </w:tc>
      </w:tr>
      <w:tr w:rsidR="001D1B0C" w:rsidRPr="001915D1" w:rsidTr="007102CB">
        <w:trPr>
          <w:gridAfter w:val="1"/>
          <w:wAfter w:w="720" w:type="dxa"/>
          <w:trHeight w:val="530"/>
        </w:trPr>
        <w:tc>
          <w:tcPr>
            <w:tcW w:w="7038" w:type="dxa"/>
            <w:gridSpan w:val="2"/>
          </w:tcPr>
          <w:p w:rsidR="001D1B0C" w:rsidRPr="00E368BB" w:rsidRDefault="001D1B0C" w:rsidP="004E4EF3">
            <w:pPr>
              <w:rPr>
                <w:sz w:val="20"/>
                <w:szCs w:val="20"/>
              </w:rPr>
            </w:pPr>
            <w:r w:rsidRPr="00E368BB">
              <w:rPr>
                <w:sz w:val="20"/>
                <w:szCs w:val="20"/>
              </w:rPr>
              <w:t>3.  Plan/schedule CPC overviews by AC &amp; AISD staff for regional ISDs this spring.</w:t>
            </w:r>
          </w:p>
        </w:tc>
        <w:tc>
          <w:tcPr>
            <w:tcW w:w="3780" w:type="dxa"/>
          </w:tcPr>
          <w:p w:rsidR="001D1B0C" w:rsidRPr="00E368BB" w:rsidRDefault="001D1B0C" w:rsidP="004E4EF3">
            <w:pPr>
              <w:rPr>
                <w:sz w:val="20"/>
                <w:szCs w:val="20"/>
              </w:rPr>
            </w:pPr>
            <w:r w:rsidRPr="00E368BB">
              <w:rPr>
                <w:sz w:val="20"/>
                <w:szCs w:val="20"/>
              </w:rPr>
              <w:t>RA</w:t>
            </w:r>
          </w:p>
        </w:tc>
        <w:tc>
          <w:tcPr>
            <w:tcW w:w="3078" w:type="dxa"/>
          </w:tcPr>
          <w:p w:rsidR="001D1B0C" w:rsidRPr="00E368BB" w:rsidRDefault="001D1B0C" w:rsidP="004E4EF3">
            <w:pPr>
              <w:rPr>
                <w:sz w:val="20"/>
                <w:szCs w:val="20"/>
              </w:rPr>
            </w:pPr>
            <w:r w:rsidRPr="00E368BB">
              <w:rPr>
                <w:sz w:val="20"/>
                <w:szCs w:val="20"/>
              </w:rPr>
              <w:t xml:space="preserve">Schedule to </w:t>
            </w:r>
            <w:proofErr w:type="spellStart"/>
            <w:r w:rsidRPr="00E368BB">
              <w:rPr>
                <w:sz w:val="20"/>
                <w:szCs w:val="20"/>
              </w:rPr>
              <w:t>occure</w:t>
            </w:r>
            <w:proofErr w:type="spellEnd"/>
            <w:r w:rsidRPr="00E368BB">
              <w:rPr>
                <w:sz w:val="20"/>
                <w:szCs w:val="20"/>
              </w:rPr>
              <w:t xml:space="preserve"> before ISDs complete master schedules for `15-16.</w:t>
            </w:r>
          </w:p>
        </w:tc>
      </w:tr>
      <w:tr w:rsidR="001D1B0C" w:rsidRPr="001915D1" w:rsidTr="007102CB">
        <w:trPr>
          <w:gridAfter w:val="1"/>
          <w:wAfter w:w="720" w:type="dxa"/>
          <w:trHeight w:val="530"/>
        </w:trPr>
        <w:tc>
          <w:tcPr>
            <w:tcW w:w="7038" w:type="dxa"/>
            <w:gridSpan w:val="2"/>
          </w:tcPr>
          <w:p w:rsidR="001D1B0C" w:rsidRPr="00E368BB" w:rsidRDefault="001D1B0C" w:rsidP="00E1546E">
            <w:pPr>
              <w:rPr>
                <w:sz w:val="20"/>
                <w:szCs w:val="20"/>
              </w:rPr>
            </w:pPr>
            <w:r w:rsidRPr="00E368BB">
              <w:rPr>
                <w:sz w:val="20"/>
                <w:szCs w:val="20"/>
              </w:rPr>
              <w:t>3.  Complete/submit survey using feedback from this meeting.</w:t>
            </w:r>
          </w:p>
        </w:tc>
        <w:tc>
          <w:tcPr>
            <w:tcW w:w="3780" w:type="dxa"/>
          </w:tcPr>
          <w:p w:rsidR="001D1B0C" w:rsidRPr="00E368BB" w:rsidRDefault="001D1B0C" w:rsidP="00E1546E">
            <w:pPr>
              <w:rPr>
                <w:sz w:val="20"/>
                <w:szCs w:val="20"/>
              </w:rPr>
            </w:pPr>
            <w:r w:rsidRPr="00E368BB">
              <w:rPr>
                <w:sz w:val="20"/>
                <w:szCs w:val="20"/>
              </w:rPr>
              <w:t>RA</w:t>
            </w:r>
          </w:p>
        </w:tc>
        <w:tc>
          <w:tcPr>
            <w:tcW w:w="3078" w:type="dxa"/>
          </w:tcPr>
          <w:p w:rsidR="001D1B0C" w:rsidRPr="00E368BB" w:rsidRDefault="001D1B0C" w:rsidP="00E1546E">
            <w:pPr>
              <w:rPr>
                <w:sz w:val="20"/>
                <w:szCs w:val="20"/>
              </w:rPr>
            </w:pPr>
            <w:r w:rsidRPr="00E368BB">
              <w:rPr>
                <w:sz w:val="20"/>
                <w:szCs w:val="20"/>
              </w:rPr>
              <w:t>Feb. 15, 2015</w:t>
            </w:r>
          </w:p>
        </w:tc>
      </w:tr>
      <w:tr w:rsidR="003946E9" w:rsidRPr="001915D1" w:rsidTr="007102CB">
        <w:trPr>
          <w:gridAfter w:val="1"/>
          <w:wAfter w:w="720" w:type="dxa"/>
          <w:trHeight w:val="530"/>
        </w:trPr>
        <w:tc>
          <w:tcPr>
            <w:tcW w:w="7038" w:type="dxa"/>
            <w:gridSpan w:val="2"/>
          </w:tcPr>
          <w:p w:rsidR="003946E9" w:rsidRPr="00E368BB" w:rsidRDefault="001D1B0C" w:rsidP="003946E9">
            <w:pPr>
              <w:rPr>
                <w:rFonts w:cstheme="minorHAnsi"/>
                <w:sz w:val="20"/>
                <w:szCs w:val="20"/>
              </w:rPr>
            </w:pPr>
            <w:r w:rsidRPr="00E368BB">
              <w:rPr>
                <w:rFonts w:cstheme="minorHAnsi"/>
                <w:sz w:val="20"/>
                <w:szCs w:val="20"/>
              </w:rPr>
              <w:t>3.  Gay Lynn will send fourth unit test to Adkins to forward to regional ISDs.</w:t>
            </w:r>
          </w:p>
        </w:tc>
        <w:tc>
          <w:tcPr>
            <w:tcW w:w="3780" w:type="dxa"/>
          </w:tcPr>
          <w:p w:rsidR="003946E9" w:rsidRPr="00E368BB" w:rsidRDefault="001D1B0C" w:rsidP="002751E2">
            <w:pPr>
              <w:rPr>
                <w:rFonts w:cstheme="minorHAnsi"/>
                <w:sz w:val="20"/>
                <w:szCs w:val="20"/>
              </w:rPr>
            </w:pPr>
            <w:r w:rsidRPr="00E368BB">
              <w:rPr>
                <w:rFonts w:cstheme="minorHAnsi"/>
                <w:sz w:val="20"/>
                <w:szCs w:val="20"/>
              </w:rPr>
              <w:t>GL/RA</w:t>
            </w:r>
          </w:p>
        </w:tc>
        <w:tc>
          <w:tcPr>
            <w:tcW w:w="3078" w:type="dxa"/>
          </w:tcPr>
          <w:p w:rsidR="003946E9" w:rsidRPr="00E368BB" w:rsidRDefault="001D1B0C" w:rsidP="00EC4FB6">
            <w:pPr>
              <w:rPr>
                <w:rFonts w:cstheme="minorHAnsi"/>
                <w:sz w:val="20"/>
                <w:szCs w:val="20"/>
              </w:rPr>
            </w:pPr>
            <w:r w:rsidRPr="00E368BB">
              <w:rPr>
                <w:rFonts w:cstheme="minorHAnsi"/>
                <w:sz w:val="20"/>
                <w:szCs w:val="20"/>
              </w:rPr>
              <w:t>Feb. 27, 2015</w:t>
            </w:r>
          </w:p>
        </w:tc>
      </w:tr>
      <w:tr w:rsidR="003946E9" w:rsidRPr="001915D1" w:rsidTr="007102CB">
        <w:trPr>
          <w:gridAfter w:val="1"/>
          <w:wAfter w:w="720" w:type="dxa"/>
          <w:trHeight w:val="530"/>
        </w:trPr>
        <w:tc>
          <w:tcPr>
            <w:tcW w:w="7038" w:type="dxa"/>
            <w:gridSpan w:val="2"/>
          </w:tcPr>
          <w:p w:rsidR="003946E9" w:rsidRPr="001915D1" w:rsidRDefault="003946E9" w:rsidP="003946E9">
            <w:pPr>
              <w:rPr>
                <w:rFonts w:cstheme="minorHAnsi"/>
                <w:sz w:val="20"/>
                <w:szCs w:val="20"/>
              </w:rPr>
            </w:pPr>
          </w:p>
        </w:tc>
        <w:tc>
          <w:tcPr>
            <w:tcW w:w="3780" w:type="dxa"/>
          </w:tcPr>
          <w:p w:rsidR="003946E9" w:rsidRPr="001915D1" w:rsidRDefault="003946E9" w:rsidP="002751E2">
            <w:pPr>
              <w:rPr>
                <w:rFonts w:cstheme="minorHAnsi"/>
                <w:sz w:val="20"/>
                <w:szCs w:val="20"/>
              </w:rPr>
            </w:pPr>
          </w:p>
        </w:tc>
        <w:tc>
          <w:tcPr>
            <w:tcW w:w="3078" w:type="dxa"/>
          </w:tcPr>
          <w:p w:rsidR="003946E9" w:rsidRPr="001915D1" w:rsidRDefault="003946E9" w:rsidP="00EC4FB6">
            <w:pPr>
              <w:rPr>
                <w:rFonts w:cstheme="minorHAnsi"/>
                <w:sz w:val="20"/>
                <w:szCs w:val="20"/>
              </w:rPr>
            </w:pPr>
          </w:p>
        </w:tc>
      </w:tr>
      <w:tr w:rsidR="00EC4FB6" w:rsidRPr="007102CB" w:rsidTr="007102CB">
        <w:trPr>
          <w:gridBefore w:val="1"/>
          <w:wBefore w:w="720" w:type="dxa"/>
          <w:trHeight w:val="5750"/>
        </w:trPr>
        <w:tc>
          <w:tcPr>
            <w:tcW w:w="13896" w:type="dxa"/>
            <w:gridSpan w:val="4"/>
          </w:tcPr>
          <w:tbl>
            <w:tblPr>
              <w:tblStyle w:val="TableGrid"/>
              <w:tblW w:w="0" w:type="auto"/>
              <w:tblLook w:val="04A0" w:firstRow="1" w:lastRow="0" w:firstColumn="1" w:lastColumn="0" w:noHBand="0" w:noVBand="1"/>
            </w:tblPr>
            <w:tblGrid>
              <w:gridCol w:w="13670"/>
            </w:tblGrid>
            <w:tr w:rsidR="00697BB8" w:rsidRPr="007102CB" w:rsidTr="008E6965">
              <w:trPr>
                <w:trHeight w:val="620"/>
              </w:trPr>
              <w:tc>
                <w:tcPr>
                  <w:tcW w:w="13896" w:type="dxa"/>
                  <w:shd w:val="clear" w:color="auto" w:fill="D9D9D9" w:themeFill="background1" w:themeFillShade="D9"/>
                  <w:vAlign w:val="center"/>
                </w:tcPr>
                <w:p w:rsidR="00697BB8" w:rsidRPr="007102CB" w:rsidRDefault="00697BB8" w:rsidP="008E6965">
                  <w:pPr>
                    <w:jc w:val="center"/>
                    <w:rPr>
                      <w:rFonts w:cstheme="minorHAnsi"/>
                      <w:i/>
                      <w:sz w:val="20"/>
                      <w:szCs w:val="20"/>
                    </w:rPr>
                  </w:pPr>
                  <w:r w:rsidRPr="007102CB">
                    <w:rPr>
                      <w:rFonts w:cstheme="minorHAnsi"/>
                      <w:b/>
                      <w:i/>
                      <w:sz w:val="20"/>
                      <w:szCs w:val="20"/>
                    </w:rPr>
                    <w:lastRenderedPageBreak/>
                    <w:t>Notes</w:t>
                  </w:r>
                </w:p>
              </w:tc>
            </w:tr>
          </w:tbl>
          <w:p w:rsidR="00412AB9" w:rsidRDefault="00412AB9" w:rsidP="00A31951">
            <w:pPr>
              <w:rPr>
                <w:rFonts w:cstheme="minorHAnsi"/>
                <w:b/>
                <w:i/>
                <w:sz w:val="20"/>
                <w:szCs w:val="20"/>
                <w:u w:val="single"/>
              </w:rPr>
            </w:pPr>
            <w:r w:rsidRPr="007102CB">
              <w:rPr>
                <w:rFonts w:cstheme="minorHAnsi"/>
                <w:b/>
                <w:i/>
                <w:sz w:val="20"/>
                <w:szCs w:val="20"/>
                <w:u w:val="single"/>
              </w:rPr>
              <w:t>Discussions revolved around agenda items, the above action items, and the following notes.</w:t>
            </w:r>
          </w:p>
          <w:p w:rsidR="001D1B0C" w:rsidRDefault="001D1B0C" w:rsidP="001D1B0C">
            <w:pPr>
              <w:rPr>
                <w:rFonts w:cstheme="minorHAnsi"/>
                <w:b/>
                <w:sz w:val="20"/>
                <w:szCs w:val="20"/>
              </w:rPr>
            </w:pPr>
            <w:r>
              <w:rPr>
                <w:rFonts w:cstheme="minorHAnsi"/>
                <w:b/>
                <w:sz w:val="20"/>
                <w:szCs w:val="20"/>
              </w:rPr>
              <w:t>--Robin Adkins reviewed the grant’s due dates &amp; deliverables document and purposes of the VAT.  Responses from survey of Region 16 ISDs having MOUs with AC &amp; FPC were reviewed.</w:t>
            </w:r>
          </w:p>
          <w:p w:rsidR="001D1B0C" w:rsidRDefault="001D1B0C" w:rsidP="001D1B0C">
            <w:pPr>
              <w:rPr>
                <w:rFonts w:cstheme="minorHAnsi"/>
                <w:b/>
                <w:sz w:val="20"/>
                <w:szCs w:val="20"/>
              </w:rPr>
            </w:pPr>
            <w:r>
              <w:rPr>
                <w:rFonts w:cstheme="minorHAnsi"/>
                <w:b/>
                <w:sz w:val="20"/>
                <w:szCs w:val="20"/>
              </w:rPr>
              <w:t>--Gay Lynn Bonjour said that AISD students were placed into math CPC based upon TSI score.  Parents could opt-out.</w:t>
            </w:r>
            <w:r w:rsidR="00E368BB">
              <w:rPr>
                <w:rFonts w:cstheme="minorHAnsi"/>
                <w:b/>
                <w:sz w:val="20"/>
                <w:szCs w:val="20"/>
              </w:rPr>
              <w:t xml:space="preserve">  She noted that teachers and students love the course.  A majority of students taking the CPC who took/passed TSI at semester chose to stay enrolled in the course.</w:t>
            </w:r>
          </w:p>
          <w:p w:rsidR="001D1B0C" w:rsidRDefault="001D1B0C" w:rsidP="001D1B0C">
            <w:pPr>
              <w:rPr>
                <w:rFonts w:cstheme="minorHAnsi"/>
                <w:b/>
                <w:sz w:val="20"/>
                <w:szCs w:val="20"/>
              </w:rPr>
            </w:pPr>
            <w:r>
              <w:rPr>
                <w:rFonts w:cstheme="minorHAnsi"/>
                <w:b/>
                <w:sz w:val="20"/>
                <w:szCs w:val="20"/>
              </w:rPr>
              <w:t>--Reviewed first semester grades from each AISD HS campus provided by Gay Lynn.  As in the ELA VAT meeting, the higher educ. partners commented that the A-F grade distributions were classic grade distributions for freshmen college students.  Grades from the spring semester will be sent to AC.  Gay Lynn noted that AISD math teachers from each campus meet often to discuss progress.</w:t>
            </w:r>
          </w:p>
          <w:p w:rsidR="001D1B0C" w:rsidRDefault="001D1B0C" w:rsidP="001D1B0C">
            <w:pPr>
              <w:rPr>
                <w:rFonts w:cstheme="minorHAnsi"/>
                <w:b/>
                <w:sz w:val="20"/>
                <w:szCs w:val="20"/>
              </w:rPr>
            </w:pPr>
            <w:r>
              <w:rPr>
                <w:rFonts w:cstheme="minorHAnsi"/>
                <w:b/>
                <w:sz w:val="20"/>
                <w:szCs w:val="20"/>
              </w:rPr>
              <w:t>--Pam Lockwood commented that enrollment statuses of students in colleges can be tracked through the “Texas Clearinghouse.”  She added that knowing the enrollment statuses of students who took CPCs would be important.  Collin Witherspoon noted that students who take the CPC and enroll at AC can be followed for progress.</w:t>
            </w:r>
          </w:p>
          <w:p w:rsidR="001D1B0C" w:rsidRDefault="001D1B0C" w:rsidP="001D1B0C">
            <w:pPr>
              <w:rPr>
                <w:rFonts w:cstheme="minorHAnsi"/>
                <w:b/>
                <w:sz w:val="20"/>
                <w:szCs w:val="20"/>
              </w:rPr>
            </w:pPr>
            <w:r>
              <w:rPr>
                <w:rFonts w:cstheme="minorHAnsi"/>
                <w:b/>
                <w:sz w:val="20"/>
                <w:szCs w:val="20"/>
              </w:rPr>
              <w:t xml:space="preserve">--Collin raised the question: What about a student who passes the math CPC, enrolls at AC in a program not requiring a math class, and then enrolls at WT: are they considered “TSI Complete” and able to enroll in an on-level course or would they be required to take the TSI or a dev. educ. course?  Pam will discuss this question with Wade Shaffer, </w:t>
            </w:r>
            <w:r w:rsidR="00E368BB">
              <w:rPr>
                <w:rFonts w:cstheme="minorHAnsi"/>
                <w:b/>
                <w:sz w:val="20"/>
                <w:szCs w:val="20"/>
              </w:rPr>
              <w:t>Provost/VP of Academic Affairs at WT.</w:t>
            </w:r>
          </w:p>
          <w:p w:rsidR="001D1B0C" w:rsidRDefault="001D1B0C" w:rsidP="001D1B0C">
            <w:pPr>
              <w:rPr>
                <w:rFonts w:cstheme="minorHAnsi"/>
                <w:b/>
                <w:sz w:val="20"/>
                <w:szCs w:val="20"/>
              </w:rPr>
            </w:pPr>
            <w:r>
              <w:rPr>
                <w:rFonts w:cstheme="minorHAnsi"/>
                <w:b/>
                <w:sz w:val="20"/>
                <w:szCs w:val="20"/>
              </w:rPr>
              <w:t>--Adkins asked question from the survey that will be submitted by Feb. 15: “How does your partnership see College Preparatory Courses in relationship to other elements of HB5 such as endorsements, local Career and Technical Education (CTE) courses, and other aspects of college or career readiness?”</w:t>
            </w:r>
          </w:p>
          <w:p w:rsidR="001D1B0C" w:rsidRDefault="001D1B0C" w:rsidP="001D1B0C">
            <w:pPr>
              <w:rPr>
                <w:rFonts w:cstheme="minorHAnsi"/>
                <w:b/>
                <w:sz w:val="20"/>
                <w:szCs w:val="20"/>
              </w:rPr>
            </w:pPr>
            <w:r>
              <w:rPr>
                <w:rFonts w:cstheme="minorHAnsi"/>
                <w:b/>
                <w:sz w:val="20"/>
                <w:szCs w:val="20"/>
              </w:rPr>
              <w:t xml:space="preserve">Responses:  For Foundation Program students, CPC can count as fourth credit of </w:t>
            </w:r>
            <w:r w:rsidR="00E368BB">
              <w:rPr>
                <w:rFonts w:cstheme="minorHAnsi"/>
                <w:b/>
                <w:sz w:val="20"/>
                <w:szCs w:val="20"/>
              </w:rPr>
              <w:t xml:space="preserve">math.  </w:t>
            </w:r>
            <w:r>
              <w:rPr>
                <w:rFonts w:cstheme="minorHAnsi"/>
                <w:b/>
                <w:sz w:val="20"/>
                <w:szCs w:val="20"/>
              </w:rPr>
              <w:t>Same with fine arts students.  The CPC gives students options most appropriate to their Foundation plans</w:t>
            </w:r>
            <w:r w:rsidR="00E368BB">
              <w:rPr>
                <w:rFonts w:cstheme="minorHAnsi"/>
                <w:b/>
                <w:sz w:val="20"/>
                <w:szCs w:val="20"/>
              </w:rPr>
              <w:t>, such as those in the Business &amp; Industry strand</w:t>
            </w:r>
            <w:r>
              <w:rPr>
                <w:rFonts w:cstheme="minorHAnsi"/>
                <w:b/>
                <w:sz w:val="20"/>
                <w:szCs w:val="20"/>
              </w:rPr>
              <w:t>.  It also gets lower achieving students “ahead of the game” by not having to take developmental education classes in college.</w:t>
            </w:r>
            <w:r w:rsidR="00E368BB">
              <w:rPr>
                <w:rFonts w:cstheme="minorHAnsi"/>
                <w:b/>
                <w:sz w:val="20"/>
                <w:szCs w:val="20"/>
              </w:rPr>
              <w:t xml:space="preserve">  It was noted that even if a student takes the math CPC and isn’t successful, that student will be better prepared for the TSI and/or dev. educ. courses, possibly avoiding the lowest level of dev. educ., thus increasing the student’s chances of completing college. </w:t>
            </w:r>
          </w:p>
          <w:p w:rsidR="009A26D2" w:rsidRDefault="009A26D2" w:rsidP="00A31951">
            <w:pPr>
              <w:rPr>
                <w:rFonts w:cstheme="minorHAnsi"/>
                <w:b/>
                <w:i/>
                <w:sz w:val="20"/>
                <w:szCs w:val="20"/>
                <w:u w:val="single"/>
              </w:rPr>
            </w:pPr>
          </w:p>
          <w:p w:rsidR="009A26D2" w:rsidRPr="007102CB" w:rsidRDefault="009A26D2" w:rsidP="00A31951">
            <w:pPr>
              <w:rPr>
                <w:rFonts w:cstheme="minorHAnsi"/>
                <w:b/>
                <w:i/>
                <w:sz w:val="20"/>
                <w:szCs w:val="20"/>
                <w:u w:val="single"/>
              </w:rPr>
            </w:pPr>
          </w:p>
          <w:p w:rsidR="00B243A5" w:rsidRPr="007102CB" w:rsidRDefault="00B243A5" w:rsidP="00B243A5">
            <w:pPr>
              <w:jc w:val="center"/>
              <w:rPr>
                <w:rFonts w:cstheme="minorHAnsi"/>
                <w:i/>
              </w:rPr>
            </w:pPr>
            <w:r w:rsidRPr="007102CB">
              <w:rPr>
                <w:rFonts w:cstheme="minorHAnsi"/>
                <w:b/>
                <w:i/>
                <w:u w:val="single"/>
              </w:rPr>
              <w:t>Meeting Participant List</w:t>
            </w:r>
          </w:p>
          <w:p w:rsidR="00B243A5" w:rsidRPr="007102CB" w:rsidRDefault="00B243A5" w:rsidP="00B243A5">
            <w:pPr>
              <w:jc w:val="center"/>
              <w:rPr>
                <w:rFonts w:cstheme="minorHAnsi"/>
                <w:i/>
              </w:rPr>
            </w:pPr>
          </w:p>
          <w:tbl>
            <w:tblPr>
              <w:tblStyle w:val="TableGrid"/>
              <w:tblW w:w="0" w:type="auto"/>
              <w:tblLook w:val="04A0" w:firstRow="1" w:lastRow="0" w:firstColumn="1" w:lastColumn="0" w:noHBand="0" w:noVBand="1"/>
            </w:tblPr>
            <w:tblGrid>
              <w:gridCol w:w="4866"/>
              <w:gridCol w:w="3725"/>
              <w:gridCol w:w="5079"/>
            </w:tblGrid>
            <w:tr w:rsidR="00B243A5" w:rsidRPr="007102CB" w:rsidTr="004D05A6">
              <w:trPr>
                <w:trHeight w:val="530"/>
              </w:trPr>
              <w:tc>
                <w:tcPr>
                  <w:tcW w:w="4866"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Name</w:t>
                  </w:r>
                </w:p>
              </w:tc>
              <w:tc>
                <w:tcPr>
                  <w:tcW w:w="3725"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Title</w:t>
                  </w:r>
                </w:p>
              </w:tc>
              <w:tc>
                <w:tcPr>
                  <w:tcW w:w="5079" w:type="dxa"/>
                  <w:shd w:val="clear" w:color="auto" w:fill="D9D9D9" w:themeFill="background1" w:themeFillShade="D9"/>
                  <w:vAlign w:val="center"/>
                </w:tcPr>
                <w:p w:rsidR="00B243A5" w:rsidRPr="007102CB" w:rsidRDefault="00B243A5" w:rsidP="007F2168">
                  <w:pPr>
                    <w:jc w:val="center"/>
                    <w:rPr>
                      <w:rFonts w:cstheme="minorHAnsi"/>
                      <w:b/>
                      <w:i/>
                    </w:rPr>
                  </w:pPr>
                  <w:r w:rsidRPr="007102CB">
                    <w:rPr>
                      <w:rFonts w:cstheme="minorHAnsi"/>
                      <w:b/>
                      <w:i/>
                    </w:rPr>
                    <w:t>Organization/Institution</w:t>
                  </w:r>
                </w:p>
              </w:tc>
            </w:tr>
            <w:tr w:rsidR="00B243A5" w:rsidRPr="007102CB" w:rsidTr="004D05A6">
              <w:trPr>
                <w:trHeight w:val="530"/>
              </w:trPr>
              <w:tc>
                <w:tcPr>
                  <w:tcW w:w="4866" w:type="dxa"/>
                </w:tcPr>
                <w:p w:rsidR="00B243A5" w:rsidRPr="00B77F2A" w:rsidRDefault="00B77F2A" w:rsidP="007F2168">
                  <w:pPr>
                    <w:jc w:val="center"/>
                    <w:rPr>
                      <w:rFonts w:cstheme="minorHAnsi"/>
                      <w:i/>
                      <w:sz w:val="20"/>
                      <w:szCs w:val="20"/>
                    </w:rPr>
                  </w:pPr>
                  <w:r w:rsidRPr="00B77F2A">
                    <w:rPr>
                      <w:rFonts w:cstheme="minorHAnsi"/>
                      <w:i/>
                      <w:sz w:val="20"/>
                      <w:szCs w:val="20"/>
                    </w:rPr>
                    <w:t>Gay Lynn Bonjour</w:t>
                  </w:r>
                </w:p>
              </w:tc>
              <w:tc>
                <w:tcPr>
                  <w:tcW w:w="3725" w:type="dxa"/>
                </w:tcPr>
                <w:p w:rsidR="00B243A5" w:rsidRPr="00B77F2A" w:rsidRDefault="00227BD4" w:rsidP="00B77F2A">
                  <w:pPr>
                    <w:jc w:val="center"/>
                    <w:rPr>
                      <w:rFonts w:cstheme="minorHAnsi"/>
                      <w:i/>
                      <w:sz w:val="20"/>
                      <w:szCs w:val="20"/>
                    </w:rPr>
                  </w:pPr>
                  <w:r w:rsidRPr="00B77F2A">
                    <w:rPr>
                      <w:rFonts w:cstheme="minorHAnsi"/>
                      <w:i/>
                      <w:sz w:val="20"/>
                      <w:szCs w:val="20"/>
                    </w:rPr>
                    <w:t xml:space="preserve">Core Curriculum Specialist, </w:t>
                  </w:r>
                  <w:r w:rsidR="00B77F2A" w:rsidRPr="00B77F2A">
                    <w:rPr>
                      <w:rFonts w:cstheme="minorHAnsi"/>
                      <w:i/>
                      <w:sz w:val="20"/>
                      <w:szCs w:val="20"/>
                    </w:rPr>
                    <w:t>Secondary Math</w:t>
                  </w:r>
                </w:p>
              </w:tc>
              <w:tc>
                <w:tcPr>
                  <w:tcW w:w="5079" w:type="dxa"/>
                </w:tcPr>
                <w:p w:rsidR="00B243A5" w:rsidRPr="00B77F2A" w:rsidRDefault="00227BD4" w:rsidP="007F2168">
                  <w:pPr>
                    <w:jc w:val="center"/>
                    <w:rPr>
                      <w:rFonts w:cstheme="minorHAnsi"/>
                      <w:i/>
                      <w:sz w:val="20"/>
                      <w:szCs w:val="20"/>
                    </w:rPr>
                  </w:pPr>
                  <w:r w:rsidRPr="00B77F2A">
                    <w:rPr>
                      <w:rFonts w:cstheme="minorHAnsi"/>
                      <w:i/>
                      <w:sz w:val="20"/>
                      <w:szCs w:val="20"/>
                    </w:rPr>
                    <w:t>Amarillo ISD</w:t>
                  </w:r>
                </w:p>
              </w:tc>
            </w:tr>
            <w:tr w:rsidR="00B243A5" w:rsidRPr="007102CB" w:rsidTr="004D05A6">
              <w:trPr>
                <w:trHeight w:val="530"/>
              </w:trPr>
              <w:tc>
                <w:tcPr>
                  <w:tcW w:w="4866" w:type="dxa"/>
                </w:tcPr>
                <w:p w:rsidR="00B243A5" w:rsidRPr="00B77F2A" w:rsidRDefault="00B77F2A" w:rsidP="007F2168">
                  <w:pPr>
                    <w:jc w:val="center"/>
                    <w:rPr>
                      <w:rFonts w:cstheme="minorHAnsi"/>
                      <w:i/>
                      <w:sz w:val="20"/>
                      <w:szCs w:val="20"/>
                    </w:rPr>
                  </w:pPr>
                  <w:r w:rsidRPr="00B77F2A">
                    <w:rPr>
                      <w:rFonts w:cstheme="minorHAnsi"/>
                      <w:i/>
                      <w:sz w:val="20"/>
                      <w:szCs w:val="20"/>
                    </w:rPr>
                    <w:t>Collin Witherspoon</w:t>
                  </w:r>
                </w:p>
              </w:tc>
              <w:tc>
                <w:tcPr>
                  <w:tcW w:w="3725" w:type="dxa"/>
                </w:tcPr>
                <w:p w:rsidR="00B243A5" w:rsidRPr="00B77F2A" w:rsidRDefault="00B77F2A" w:rsidP="007F2168">
                  <w:pPr>
                    <w:jc w:val="center"/>
                    <w:rPr>
                      <w:rFonts w:cstheme="minorHAnsi"/>
                      <w:i/>
                      <w:sz w:val="20"/>
                      <w:szCs w:val="20"/>
                    </w:rPr>
                  </w:pPr>
                  <w:r w:rsidRPr="00B77F2A">
                    <w:rPr>
                      <w:rFonts w:cstheme="minorHAnsi"/>
                      <w:i/>
                      <w:sz w:val="20"/>
                      <w:szCs w:val="20"/>
                    </w:rPr>
                    <w:t>Instructor/Dept. Chair</w:t>
                  </w:r>
                </w:p>
                <w:p w:rsidR="00B77F2A" w:rsidRPr="00B77F2A" w:rsidRDefault="00B77F2A" w:rsidP="007F2168">
                  <w:pPr>
                    <w:jc w:val="center"/>
                    <w:rPr>
                      <w:rFonts w:cstheme="minorHAnsi"/>
                      <w:i/>
                      <w:sz w:val="20"/>
                      <w:szCs w:val="20"/>
                    </w:rPr>
                  </w:pPr>
                  <w:r w:rsidRPr="00B77F2A">
                    <w:rPr>
                      <w:rFonts w:cstheme="minorHAnsi"/>
                      <w:i/>
                      <w:sz w:val="20"/>
                      <w:szCs w:val="20"/>
                    </w:rPr>
                    <w:t>Mathematics, Engineering &amp; Physical Sciences</w:t>
                  </w:r>
                </w:p>
              </w:tc>
              <w:tc>
                <w:tcPr>
                  <w:tcW w:w="5079" w:type="dxa"/>
                </w:tcPr>
                <w:p w:rsidR="00B243A5" w:rsidRPr="00B77F2A" w:rsidRDefault="00227BD4" w:rsidP="007F2168">
                  <w:pPr>
                    <w:jc w:val="center"/>
                    <w:rPr>
                      <w:rFonts w:cstheme="minorHAnsi"/>
                      <w:i/>
                      <w:sz w:val="20"/>
                      <w:szCs w:val="20"/>
                    </w:rPr>
                  </w:pPr>
                  <w:r w:rsidRPr="00B77F2A">
                    <w:rPr>
                      <w:rFonts w:cstheme="minorHAnsi"/>
                      <w:i/>
                      <w:sz w:val="20"/>
                      <w:szCs w:val="20"/>
                    </w:rPr>
                    <w:t>Amarillo College</w:t>
                  </w:r>
                </w:p>
              </w:tc>
            </w:tr>
            <w:tr w:rsidR="00B243A5" w:rsidRPr="007102CB" w:rsidTr="004D05A6">
              <w:trPr>
                <w:trHeight w:val="530"/>
              </w:trPr>
              <w:tc>
                <w:tcPr>
                  <w:tcW w:w="4866" w:type="dxa"/>
                </w:tcPr>
                <w:p w:rsidR="00B243A5" w:rsidRPr="00B77F2A" w:rsidRDefault="00B77F2A" w:rsidP="007F2168">
                  <w:pPr>
                    <w:jc w:val="center"/>
                    <w:rPr>
                      <w:rFonts w:cstheme="minorHAnsi"/>
                      <w:i/>
                      <w:sz w:val="20"/>
                      <w:szCs w:val="20"/>
                    </w:rPr>
                  </w:pPr>
                  <w:r w:rsidRPr="00B77F2A">
                    <w:rPr>
                      <w:rFonts w:cstheme="minorHAnsi"/>
                      <w:i/>
                      <w:sz w:val="20"/>
                      <w:szCs w:val="20"/>
                    </w:rPr>
                    <w:t>Pam Lockwood</w:t>
                  </w:r>
                </w:p>
              </w:tc>
              <w:tc>
                <w:tcPr>
                  <w:tcW w:w="3725" w:type="dxa"/>
                </w:tcPr>
                <w:p w:rsidR="00B243A5" w:rsidRPr="00B77F2A" w:rsidRDefault="001D1B0C" w:rsidP="007F2168">
                  <w:pPr>
                    <w:jc w:val="center"/>
                    <w:rPr>
                      <w:rFonts w:cstheme="minorHAnsi"/>
                      <w:i/>
                      <w:sz w:val="20"/>
                      <w:szCs w:val="20"/>
                    </w:rPr>
                  </w:pPr>
                  <w:r>
                    <w:rPr>
                      <w:rFonts w:cstheme="minorHAnsi"/>
                      <w:i/>
                      <w:sz w:val="20"/>
                      <w:szCs w:val="20"/>
                    </w:rPr>
                    <w:t>Professor of Mathematics</w:t>
                  </w:r>
                </w:p>
              </w:tc>
              <w:tc>
                <w:tcPr>
                  <w:tcW w:w="5079" w:type="dxa"/>
                </w:tcPr>
                <w:p w:rsidR="00B243A5" w:rsidRPr="00B77F2A" w:rsidRDefault="00227BD4" w:rsidP="007F2168">
                  <w:pPr>
                    <w:jc w:val="center"/>
                    <w:rPr>
                      <w:rFonts w:cstheme="minorHAnsi"/>
                      <w:i/>
                      <w:sz w:val="20"/>
                      <w:szCs w:val="20"/>
                    </w:rPr>
                  </w:pPr>
                  <w:r w:rsidRPr="00B77F2A">
                    <w:rPr>
                      <w:rFonts w:cstheme="minorHAnsi"/>
                      <w:i/>
                      <w:sz w:val="20"/>
                      <w:szCs w:val="20"/>
                    </w:rPr>
                    <w:t>West Texas A&amp;M University</w:t>
                  </w:r>
                </w:p>
              </w:tc>
            </w:tr>
            <w:tr w:rsidR="00B243A5" w:rsidRPr="007102CB" w:rsidTr="004D05A6">
              <w:trPr>
                <w:trHeight w:val="530"/>
              </w:trPr>
              <w:tc>
                <w:tcPr>
                  <w:tcW w:w="4866" w:type="dxa"/>
                </w:tcPr>
                <w:p w:rsidR="00B243A5" w:rsidRPr="00932EAF" w:rsidRDefault="004D05A6" w:rsidP="007F2168">
                  <w:pPr>
                    <w:jc w:val="center"/>
                    <w:rPr>
                      <w:rFonts w:cstheme="minorHAnsi"/>
                      <w:i/>
                      <w:sz w:val="20"/>
                      <w:szCs w:val="20"/>
                    </w:rPr>
                  </w:pPr>
                  <w:r w:rsidRPr="00932EAF">
                    <w:rPr>
                      <w:rFonts w:cstheme="minorHAnsi"/>
                      <w:i/>
                      <w:sz w:val="20"/>
                      <w:szCs w:val="20"/>
                    </w:rPr>
                    <w:t>Robin Adkins</w:t>
                  </w:r>
                </w:p>
              </w:tc>
              <w:tc>
                <w:tcPr>
                  <w:tcW w:w="3725" w:type="dxa"/>
                </w:tcPr>
                <w:p w:rsidR="00B243A5" w:rsidRPr="00932EAF" w:rsidRDefault="004D05A6" w:rsidP="007F2168">
                  <w:pPr>
                    <w:jc w:val="center"/>
                    <w:rPr>
                      <w:rFonts w:cstheme="minorHAnsi"/>
                      <w:i/>
                      <w:sz w:val="20"/>
                      <w:szCs w:val="20"/>
                    </w:rPr>
                  </w:pPr>
                  <w:r w:rsidRPr="00932EAF">
                    <w:rPr>
                      <w:rFonts w:cstheme="minorHAnsi"/>
                      <w:i/>
                      <w:sz w:val="20"/>
                      <w:szCs w:val="20"/>
                    </w:rPr>
                    <w:t>P-16 Specialist/Team Facilitator</w:t>
                  </w:r>
                </w:p>
              </w:tc>
              <w:tc>
                <w:tcPr>
                  <w:tcW w:w="5079" w:type="dxa"/>
                </w:tcPr>
                <w:p w:rsidR="00B243A5" w:rsidRPr="00932EAF" w:rsidRDefault="004D05A6" w:rsidP="007F2168">
                  <w:pPr>
                    <w:jc w:val="center"/>
                    <w:rPr>
                      <w:rFonts w:cstheme="minorHAnsi"/>
                      <w:i/>
                      <w:sz w:val="20"/>
                      <w:szCs w:val="20"/>
                    </w:rPr>
                  </w:pPr>
                  <w:r w:rsidRPr="00932EAF">
                    <w:rPr>
                      <w:rFonts w:cstheme="minorHAnsi"/>
                      <w:i/>
                      <w:sz w:val="20"/>
                      <w:szCs w:val="20"/>
                    </w:rPr>
                    <w:t>Region 16 ESC</w:t>
                  </w:r>
                </w:p>
              </w:tc>
            </w:tr>
          </w:tbl>
          <w:p w:rsidR="00EC4FB6" w:rsidRPr="007102CB" w:rsidRDefault="00EC4FB6" w:rsidP="00B941C4">
            <w:pPr>
              <w:rPr>
                <w:rFonts w:cstheme="minorHAnsi"/>
                <w:i/>
                <w:sz w:val="20"/>
                <w:szCs w:val="20"/>
              </w:rPr>
            </w:pPr>
          </w:p>
        </w:tc>
      </w:tr>
    </w:tbl>
    <w:p w:rsidR="00EC4FB6" w:rsidRPr="00EC4FB6" w:rsidRDefault="00EC4FB6" w:rsidP="00B77F2A">
      <w:pPr>
        <w:spacing w:after="0" w:line="240" w:lineRule="auto"/>
        <w:rPr>
          <w:rFonts w:cstheme="minorHAnsi"/>
        </w:rPr>
      </w:pPr>
    </w:p>
    <w:sectPr w:rsidR="00EC4FB6"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8B" w:rsidRDefault="0037348B" w:rsidP="00F9444B">
      <w:pPr>
        <w:spacing w:after="0" w:line="240" w:lineRule="auto"/>
      </w:pPr>
      <w:r>
        <w:separator/>
      </w:r>
    </w:p>
  </w:endnote>
  <w:endnote w:type="continuationSeparator" w:id="0">
    <w:p w:rsidR="0037348B" w:rsidRDefault="0037348B"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37348B" w:rsidRPr="002E1FF1" w:rsidRDefault="0037348B">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1D0E32">
          <w:rPr>
            <w:noProof/>
            <w:sz w:val="20"/>
            <w:szCs w:val="20"/>
          </w:rPr>
          <w:t>3</w:t>
        </w:r>
        <w:r w:rsidRPr="002E1FF1">
          <w:rPr>
            <w:noProof/>
            <w:sz w:val="20"/>
            <w:szCs w:val="20"/>
          </w:rPr>
          <w:fldChar w:fldCharType="end"/>
        </w:r>
      </w:p>
    </w:sdtContent>
  </w:sdt>
  <w:p w:rsidR="0037348B" w:rsidRDefault="00373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8B" w:rsidRDefault="0037348B" w:rsidP="00F9444B">
      <w:pPr>
        <w:spacing w:after="0" w:line="240" w:lineRule="auto"/>
      </w:pPr>
      <w:r>
        <w:separator/>
      </w:r>
    </w:p>
  </w:footnote>
  <w:footnote w:type="continuationSeparator" w:id="0">
    <w:p w:rsidR="0037348B" w:rsidRDefault="0037348B"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1915D1"/>
    <w:rsid w:val="001A6727"/>
    <w:rsid w:val="001D0E32"/>
    <w:rsid w:val="001D1B0C"/>
    <w:rsid w:val="00227BD4"/>
    <w:rsid w:val="00232391"/>
    <w:rsid w:val="00236264"/>
    <w:rsid w:val="002510E6"/>
    <w:rsid w:val="00266FC5"/>
    <w:rsid w:val="002751E2"/>
    <w:rsid w:val="002E1FF1"/>
    <w:rsid w:val="00345783"/>
    <w:rsid w:val="00355AD3"/>
    <w:rsid w:val="003725DD"/>
    <w:rsid w:val="0037348B"/>
    <w:rsid w:val="003946E9"/>
    <w:rsid w:val="003D1AEE"/>
    <w:rsid w:val="00412AB9"/>
    <w:rsid w:val="00445D10"/>
    <w:rsid w:val="00462FF7"/>
    <w:rsid w:val="004D05A6"/>
    <w:rsid w:val="005405ED"/>
    <w:rsid w:val="005E5A38"/>
    <w:rsid w:val="00624194"/>
    <w:rsid w:val="00697BB8"/>
    <w:rsid w:val="006A0985"/>
    <w:rsid w:val="006C446A"/>
    <w:rsid w:val="006D3736"/>
    <w:rsid w:val="006D7A8C"/>
    <w:rsid w:val="007102CB"/>
    <w:rsid w:val="00757CCB"/>
    <w:rsid w:val="00864BF3"/>
    <w:rsid w:val="008C1BEE"/>
    <w:rsid w:val="009150EA"/>
    <w:rsid w:val="00932EAF"/>
    <w:rsid w:val="009A26D2"/>
    <w:rsid w:val="00A31951"/>
    <w:rsid w:val="00AA3A71"/>
    <w:rsid w:val="00AC2409"/>
    <w:rsid w:val="00AC5A08"/>
    <w:rsid w:val="00B243A5"/>
    <w:rsid w:val="00B77F2A"/>
    <w:rsid w:val="00B941C4"/>
    <w:rsid w:val="00BC567D"/>
    <w:rsid w:val="00BF54D8"/>
    <w:rsid w:val="00C779A7"/>
    <w:rsid w:val="00CA387A"/>
    <w:rsid w:val="00D30028"/>
    <w:rsid w:val="00DB6342"/>
    <w:rsid w:val="00E1437A"/>
    <w:rsid w:val="00E368BB"/>
    <w:rsid w:val="00E757E7"/>
    <w:rsid w:val="00EB4A62"/>
    <w:rsid w:val="00EC3144"/>
    <w:rsid w:val="00EC4678"/>
    <w:rsid w:val="00EC4FB6"/>
    <w:rsid w:val="00EF75FE"/>
    <w:rsid w:val="00F26929"/>
    <w:rsid w:val="00F32795"/>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EC4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0969">
      <w:bodyDiv w:val="1"/>
      <w:marLeft w:val="0"/>
      <w:marRight w:val="0"/>
      <w:marTop w:val="0"/>
      <w:marBottom w:val="0"/>
      <w:divBdr>
        <w:top w:val="none" w:sz="0" w:space="0" w:color="auto"/>
        <w:left w:val="none" w:sz="0" w:space="0" w:color="auto"/>
        <w:bottom w:val="none" w:sz="0" w:space="0" w:color="auto"/>
        <w:right w:val="none" w:sz="0" w:space="0" w:color="auto"/>
      </w:divBdr>
    </w:div>
    <w:div w:id="1393623952">
      <w:bodyDiv w:val="1"/>
      <w:marLeft w:val="0"/>
      <w:marRight w:val="0"/>
      <w:marTop w:val="0"/>
      <w:marBottom w:val="0"/>
      <w:divBdr>
        <w:top w:val="none" w:sz="0" w:space="0" w:color="auto"/>
        <w:left w:val="none" w:sz="0" w:space="0" w:color="auto"/>
        <w:bottom w:val="none" w:sz="0" w:space="0" w:color="auto"/>
        <w:right w:val="none" w:sz="0" w:space="0" w:color="auto"/>
      </w:divBdr>
    </w:div>
    <w:div w:id="1564756320">
      <w:bodyDiv w:val="1"/>
      <w:marLeft w:val="0"/>
      <w:marRight w:val="0"/>
      <w:marTop w:val="0"/>
      <w:marBottom w:val="0"/>
      <w:divBdr>
        <w:top w:val="none" w:sz="0" w:space="0" w:color="auto"/>
        <w:left w:val="none" w:sz="0" w:space="0" w:color="auto"/>
        <w:bottom w:val="none" w:sz="0" w:space="0" w:color="auto"/>
        <w:right w:val="none" w:sz="0" w:space="0" w:color="auto"/>
      </w:divBdr>
    </w:div>
    <w:div w:id="16744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Windows User</cp:lastModifiedBy>
  <cp:revision>8</cp:revision>
  <cp:lastPrinted>2015-02-06T20:32:00Z</cp:lastPrinted>
  <dcterms:created xsi:type="dcterms:W3CDTF">2015-02-05T20:31:00Z</dcterms:created>
  <dcterms:modified xsi:type="dcterms:W3CDTF">2015-02-12T20:20:00Z</dcterms:modified>
</cp:coreProperties>
</file>